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23E16" w14:textId="341D878D" w:rsidR="00AD29FC" w:rsidRPr="00AD29FC" w:rsidRDefault="00AD29FC" w:rsidP="00AD29FC">
      <w:pPr>
        <w:rPr>
          <w:b/>
          <w:bCs/>
          <w:lang w:val="en-US"/>
        </w:rPr>
      </w:pPr>
      <w:r w:rsidRPr="00AD29FC">
        <w:rPr>
          <w:b/>
          <w:bCs/>
          <w:lang w:val="en-US"/>
        </w:rPr>
        <w:t xml:space="preserve">ANNEX </w:t>
      </w:r>
      <w:proofErr w:type="spellStart"/>
      <w:r w:rsidRPr="00AD29FC">
        <w:rPr>
          <w:b/>
          <w:bCs/>
          <w:lang w:val="en-US"/>
        </w:rPr>
        <w:t>Va</w:t>
      </w:r>
      <w:proofErr w:type="spellEnd"/>
      <w:r w:rsidR="006375B7" w:rsidRPr="006375B7">
        <w:rPr>
          <w:b/>
          <w:bCs/>
          <w:lang w:val="en-US"/>
        </w:rPr>
        <w:t xml:space="preserve">: </w:t>
      </w:r>
      <w:r w:rsidRPr="00AD29FC">
        <w:rPr>
          <w:b/>
          <w:bCs/>
          <w:lang w:val="en-US"/>
        </w:rPr>
        <w:t>MINIMUM INFORMATION TO BE INCLUDED IN THE EU RECOVERY PROSPECTUS</w:t>
      </w:r>
    </w:p>
    <w:tbl>
      <w:tblPr>
        <w:tblStyle w:val="Tabellrutenett"/>
        <w:tblW w:w="10774" w:type="dxa"/>
        <w:tblInd w:w="-856" w:type="dxa"/>
        <w:tblLook w:val="04A0" w:firstRow="1" w:lastRow="0" w:firstColumn="1" w:lastColumn="0" w:noHBand="0" w:noVBand="1"/>
      </w:tblPr>
      <w:tblGrid>
        <w:gridCol w:w="709"/>
        <w:gridCol w:w="5674"/>
        <w:gridCol w:w="1133"/>
        <w:gridCol w:w="3258"/>
      </w:tblGrid>
      <w:tr w:rsidR="00AD29FC" w:rsidRPr="00BF3F76" w14:paraId="247FB4D7" w14:textId="77777777" w:rsidTr="00BF3F76">
        <w:tc>
          <w:tcPr>
            <w:tcW w:w="709" w:type="dxa"/>
          </w:tcPr>
          <w:p w14:paraId="66E506D6" w14:textId="77777777" w:rsidR="00AD29FC" w:rsidRPr="00BF3F76" w:rsidRDefault="00AD29FC">
            <w:pPr>
              <w:rPr>
                <w:sz w:val="20"/>
                <w:szCs w:val="20"/>
                <w:lang w:val="en-US"/>
              </w:rPr>
            </w:pPr>
          </w:p>
        </w:tc>
        <w:tc>
          <w:tcPr>
            <w:tcW w:w="5677" w:type="dxa"/>
          </w:tcPr>
          <w:p w14:paraId="7B4425F1" w14:textId="77777777" w:rsidR="00AD29FC" w:rsidRPr="00BF3F76" w:rsidRDefault="00AD29FC">
            <w:pPr>
              <w:rPr>
                <w:sz w:val="20"/>
                <w:szCs w:val="20"/>
                <w:lang w:val="en-US"/>
              </w:rPr>
            </w:pPr>
          </w:p>
        </w:tc>
        <w:tc>
          <w:tcPr>
            <w:tcW w:w="1128" w:type="dxa"/>
          </w:tcPr>
          <w:p w14:paraId="00708577" w14:textId="423D66D9" w:rsidR="00AD29FC" w:rsidRPr="00BF3F76" w:rsidRDefault="00AD29FC">
            <w:pPr>
              <w:rPr>
                <w:b/>
                <w:bCs/>
                <w:sz w:val="20"/>
                <w:szCs w:val="20"/>
                <w:lang w:val="en-US"/>
              </w:rPr>
            </w:pPr>
            <w:proofErr w:type="spellStart"/>
            <w:r w:rsidRPr="00BF3F76">
              <w:rPr>
                <w:b/>
                <w:bCs/>
                <w:sz w:val="20"/>
                <w:szCs w:val="20"/>
                <w:lang w:val="en-US"/>
              </w:rPr>
              <w:t>Henvisning</w:t>
            </w:r>
            <w:proofErr w:type="spellEnd"/>
          </w:p>
        </w:tc>
        <w:tc>
          <w:tcPr>
            <w:tcW w:w="3260" w:type="dxa"/>
          </w:tcPr>
          <w:p w14:paraId="77BCE3E5" w14:textId="5D028F6F" w:rsidR="00AD29FC" w:rsidRPr="00BF3F76" w:rsidRDefault="00AD29FC">
            <w:pPr>
              <w:rPr>
                <w:b/>
                <w:bCs/>
                <w:sz w:val="20"/>
                <w:szCs w:val="20"/>
                <w:lang w:val="en-US"/>
              </w:rPr>
            </w:pPr>
            <w:r w:rsidRPr="00BF3F76">
              <w:rPr>
                <w:b/>
                <w:bCs/>
                <w:sz w:val="20"/>
                <w:szCs w:val="20"/>
                <w:lang w:val="en-US"/>
              </w:rPr>
              <w:t>Kommentar</w:t>
            </w:r>
          </w:p>
        </w:tc>
      </w:tr>
      <w:tr w:rsidR="00F30460" w:rsidRPr="00BF3F76" w14:paraId="5204DE46" w14:textId="77777777" w:rsidTr="00661BCE">
        <w:tc>
          <w:tcPr>
            <w:tcW w:w="709" w:type="dxa"/>
            <w:shd w:val="clear" w:color="auto" w:fill="D9D9D9" w:themeFill="background1" w:themeFillShade="D9"/>
          </w:tcPr>
          <w:p w14:paraId="781296AB" w14:textId="31CC5FDA" w:rsidR="00F30460" w:rsidRPr="00BF3F76" w:rsidRDefault="006375B7" w:rsidP="006375B7">
            <w:pPr>
              <w:spacing w:after="160" w:line="259" w:lineRule="auto"/>
              <w:rPr>
                <w:b/>
                <w:bCs/>
                <w:sz w:val="20"/>
                <w:szCs w:val="20"/>
                <w:lang w:val="en-US"/>
              </w:rPr>
            </w:pPr>
            <w:r w:rsidRPr="00AD29FC">
              <w:rPr>
                <w:b/>
                <w:bCs/>
                <w:sz w:val="20"/>
                <w:szCs w:val="20"/>
                <w:lang w:val="en-US"/>
              </w:rPr>
              <w:t>I.</w:t>
            </w:r>
          </w:p>
        </w:tc>
        <w:tc>
          <w:tcPr>
            <w:tcW w:w="5677" w:type="dxa"/>
            <w:shd w:val="clear" w:color="auto" w:fill="D9D9D9" w:themeFill="background1" w:themeFillShade="D9"/>
          </w:tcPr>
          <w:p w14:paraId="7C2B15EE" w14:textId="72C31F58" w:rsidR="00F30460" w:rsidRPr="00BF3F76" w:rsidRDefault="006375B7">
            <w:pPr>
              <w:rPr>
                <w:b/>
                <w:bCs/>
                <w:sz w:val="20"/>
                <w:szCs w:val="20"/>
              </w:rPr>
            </w:pPr>
            <w:r w:rsidRPr="00AD29FC">
              <w:rPr>
                <w:b/>
                <w:bCs/>
                <w:sz w:val="20"/>
                <w:szCs w:val="20"/>
                <w:lang w:val="en-US"/>
              </w:rPr>
              <w:t>Summary</w:t>
            </w:r>
          </w:p>
        </w:tc>
        <w:tc>
          <w:tcPr>
            <w:tcW w:w="1128" w:type="dxa"/>
            <w:shd w:val="clear" w:color="auto" w:fill="D9D9D9" w:themeFill="background1" w:themeFillShade="D9"/>
          </w:tcPr>
          <w:p w14:paraId="1BF53663" w14:textId="77777777" w:rsidR="00F30460" w:rsidRPr="00BF3F76" w:rsidRDefault="00F30460">
            <w:pPr>
              <w:rPr>
                <w:sz w:val="20"/>
                <w:szCs w:val="20"/>
                <w:lang w:val="en-US"/>
              </w:rPr>
            </w:pPr>
          </w:p>
        </w:tc>
        <w:tc>
          <w:tcPr>
            <w:tcW w:w="3260" w:type="dxa"/>
            <w:shd w:val="clear" w:color="auto" w:fill="D9D9D9" w:themeFill="background1" w:themeFillShade="D9"/>
          </w:tcPr>
          <w:p w14:paraId="29342F3C" w14:textId="77777777" w:rsidR="00F30460" w:rsidRPr="00BF3F76" w:rsidRDefault="00F30460">
            <w:pPr>
              <w:rPr>
                <w:sz w:val="20"/>
                <w:szCs w:val="20"/>
                <w:lang w:val="en-US"/>
              </w:rPr>
            </w:pPr>
          </w:p>
        </w:tc>
      </w:tr>
      <w:tr w:rsidR="00F30460" w:rsidRPr="00991899" w14:paraId="2B65FB1A" w14:textId="77777777" w:rsidTr="00BF3F76">
        <w:tc>
          <w:tcPr>
            <w:tcW w:w="709" w:type="dxa"/>
          </w:tcPr>
          <w:p w14:paraId="0DBB64AC" w14:textId="77777777" w:rsidR="00F30460" w:rsidRPr="00BF3F76" w:rsidRDefault="00F30460" w:rsidP="00AD29FC">
            <w:pPr>
              <w:rPr>
                <w:b/>
                <w:bCs/>
                <w:sz w:val="20"/>
                <w:szCs w:val="20"/>
              </w:rPr>
            </w:pPr>
          </w:p>
        </w:tc>
        <w:tc>
          <w:tcPr>
            <w:tcW w:w="5677" w:type="dxa"/>
          </w:tcPr>
          <w:p w14:paraId="6911C5B7" w14:textId="146B86EF" w:rsidR="00F30460" w:rsidRPr="00BF3F76" w:rsidRDefault="006375B7" w:rsidP="006375B7">
            <w:pPr>
              <w:spacing w:after="160" w:line="259" w:lineRule="auto"/>
              <w:rPr>
                <w:sz w:val="20"/>
                <w:szCs w:val="20"/>
                <w:lang w:val="en-US"/>
              </w:rPr>
            </w:pPr>
            <w:r w:rsidRPr="00AD29FC">
              <w:rPr>
                <w:sz w:val="20"/>
                <w:szCs w:val="20"/>
                <w:lang w:val="en-US"/>
              </w:rPr>
              <w:t>The EU Recovery prospectus must include a summary drawn up in accordance with Article 7(12a).</w:t>
            </w:r>
            <w:r w:rsidRPr="00AD29FC">
              <w:rPr>
                <w:b/>
                <w:bCs/>
                <w:sz w:val="20"/>
                <w:szCs w:val="20"/>
                <w:lang w:val="en-US"/>
              </w:rPr>
              <w:t> </w:t>
            </w:r>
          </w:p>
        </w:tc>
        <w:tc>
          <w:tcPr>
            <w:tcW w:w="1128" w:type="dxa"/>
          </w:tcPr>
          <w:p w14:paraId="69DAF643" w14:textId="77777777" w:rsidR="00F30460" w:rsidRPr="00BF3F76" w:rsidRDefault="00F30460">
            <w:pPr>
              <w:rPr>
                <w:sz w:val="20"/>
                <w:szCs w:val="20"/>
                <w:lang w:val="en-US"/>
              </w:rPr>
            </w:pPr>
          </w:p>
        </w:tc>
        <w:tc>
          <w:tcPr>
            <w:tcW w:w="3260" w:type="dxa"/>
          </w:tcPr>
          <w:p w14:paraId="1026610D" w14:textId="77777777" w:rsidR="00F30460" w:rsidRPr="00BF3F76" w:rsidRDefault="00F30460">
            <w:pPr>
              <w:rPr>
                <w:sz w:val="20"/>
                <w:szCs w:val="20"/>
                <w:lang w:val="en-US"/>
              </w:rPr>
            </w:pPr>
          </w:p>
        </w:tc>
      </w:tr>
      <w:tr w:rsidR="00F30460" w:rsidRPr="00991899" w14:paraId="6F8D13C7" w14:textId="77777777" w:rsidTr="00661BCE">
        <w:tc>
          <w:tcPr>
            <w:tcW w:w="709" w:type="dxa"/>
            <w:shd w:val="clear" w:color="auto" w:fill="D9D9D9" w:themeFill="background1" w:themeFillShade="D9"/>
          </w:tcPr>
          <w:p w14:paraId="69651EFE" w14:textId="3B91D8E7" w:rsidR="00F30460" w:rsidRPr="00BF3F76" w:rsidRDefault="006375B7" w:rsidP="00AD29FC">
            <w:pPr>
              <w:rPr>
                <w:b/>
                <w:bCs/>
                <w:sz w:val="20"/>
                <w:szCs w:val="20"/>
              </w:rPr>
            </w:pPr>
            <w:r w:rsidRPr="00AD29FC">
              <w:rPr>
                <w:b/>
                <w:bCs/>
                <w:sz w:val="20"/>
                <w:szCs w:val="20"/>
                <w:lang w:val="en-US"/>
              </w:rPr>
              <w:t>II.   </w:t>
            </w:r>
          </w:p>
        </w:tc>
        <w:tc>
          <w:tcPr>
            <w:tcW w:w="5677" w:type="dxa"/>
            <w:shd w:val="clear" w:color="auto" w:fill="D9D9D9" w:themeFill="background1" w:themeFillShade="D9"/>
          </w:tcPr>
          <w:p w14:paraId="6762D5E1" w14:textId="0885E9EB" w:rsidR="00F30460" w:rsidRPr="00BF3F76" w:rsidRDefault="006375B7" w:rsidP="006375B7">
            <w:pPr>
              <w:spacing w:after="160" w:line="259" w:lineRule="auto"/>
              <w:rPr>
                <w:b/>
                <w:bCs/>
                <w:sz w:val="20"/>
                <w:szCs w:val="20"/>
                <w:lang w:val="en-US"/>
              </w:rPr>
            </w:pPr>
            <w:r w:rsidRPr="00AD29FC">
              <w:rPr>
                <w:b/>
                <w:bCs/>
                <w:sz w:val="20"/>
                <w:szCs w:val="20"/>
                <w:lang w:val="en-US"/>
              </w:rPr>
              <w:t>Name of the issuer, country of incorporation, link to the issuer’s website</w:t>
            </w:r>
          </w:p>
        </w:tc>
        <w:tc>
          <w:tcPr>
            <w:tcW w:w="1128" w:type="dxa"/>
            <w:shd w:val="clear" w:color="auto" w:fill="D9D9D9" w:themeFill="background1" w:themeFillShade="D9"/>
          </w:tcPr>
          <w:p w14:paraId="55B4103F" w14:textId="77777777" w:rsidR="00F30460" w:rsidRPr="00BF3F76" w:rsidRDefault="00F30460">
            <w:pPr>
              <w:rPr>
                <w:sz w:val="20"/>
                <w:szCs w:val="20"/>
                <w:lang w:val="en-US"/>
              </w:rPr>
            </w:pPr>
          </w:p>
        </w:tc>
        <w:tc>
          <w:tcPr>
            <w:tcW w:w="3260" w:type="dxa"/>
            <w:shd w:val="clear" w:color="auto" w:fill="D9D9D9" w:themeFill="background1" w:themeFillShade="D9"/>
          </w:tcPr>
          <w:p w14:paraId="77E03639" w14:textId="77777777" w:rsidR="00F30460" w:rsidRPr="00BF3F76" w:rsidRDefault="00F30460">
            <w:pPr>
              <w:rPr>
                <w:sz w:val="20"/>
                <w:szCs w:val="20"/>
                <w:lang w:val="en-US"/>
              </w:rPr>
            </w:pPr>
          </w:p>
        </w:tc>
      </w:tr>
      <w:tr w:rsidR="00F30460" w:rsidRPr="00991899" w14:paraId="3FA32F53" w14:textId="77777777" w:rsidTr="00BF3F76">
        <w:tc>
          <w:tcPr>
            <w:tcW w:w="709" w:type="dxa"/>
          </w:tcPr>
          <w:p w14:paraId="2C5BA4AE" w14:textId="77777777" w:rsidR="00F30460" w:rsidRPr="00BF3F76" w:rsidRDefault="00F30460" w:rsidP="00AD29FC">
            <w:pPr>
              <w:rPr>
                <w:b/>
                <w:bCs/>
                <w:sz w:val="20"/>
                <w:szCs w:val="20"/>
                <w:lang w:val="en-US"/>
              </w:rPr>
            </w:pPr>
          </w:p>
        </w:tc>
        <w:tc>
          <w:tcPr>
            <w:tcW w:w="5677" w:type="dxa"/>
          </w:tcPr>
          <w:p w14:paraId="52C97D87" w14:textId="7C2438E4" w:rsidR="00F30460" w:rsidRPr="00BF3F76" w:rsidRDefault="006375B7" w:rsidP="006375B7">
            <w:pPr>
              <w:spacing w:after="160" w:line="259" w:lineRule="auto"/>
              <w:rPr>
                <w:sz w:val="20"/>
                <w:szCs w:val="20"/>
                <w:lang w:val="en-US"/>
              </w:rPr>
            </w:pPr>
            <w:r w:rsidRPr="00AD29FC">
              <w:rPr>
                <w:sz w:val="20"/>
                <w:szCs w:val="20"/>
                <w:lang w:val="en-US"/>
              </w:rPr>
              <w:t>Identify the company issuing shares, including its legal entity identifier (LEI), its legal and commercial name, its country of incorporation and the website where investors can find information on the company’s business operations, the products it makes or the services it provides, the principal markets where it competes, its major shareholders, the composition of its administrative, management and supervisory bodies and of its senior management and, where applicable, information incorporated by reference (with a disclaimer that the information on the website does not form part of the prospectus unless that information is incorporated by reference into the prospectus).</w:t>
            </w:r>
          </w:p>
        </w:tc>
        <w:tc>
          <w:tcPr>
            <w:tcW w:w="1128" w:type="dxa"/>
          </w:tcPr>
          <w:p w14:paraId="16E1877A" w14:textId="77777777" w:rsidR="00F30460" w:rsidRPr="00BF3F76" w:rsidRDefault="00F30460">
            <w:pPr>
              <w:rPr>
                <w:sz w:val="20"/>
                <w:szCs w:val="20"/>
                <w:lang w:val="en-US"/>
              </w:rPr>
            </w:pPr>
          </w:p>
        </w:tc>
        <w:tc>
          <w:tcPr>
            <w:tcW w:w="3260" w:type="dxa"/>
          </w:tcPr>
          <w:p w14:paraId="65170838" w14:textId="76DA5915" w:rsidR="00F30460" w:rsidRPr="00991899" w:rsidRDefault="00F30460">
            <w:pPr>
              <w:rPr>
                <w:sz w:val="20"/>
                <w:szCs w:val="20"/>
                <w:lang w:val="en-US"/>
              </w:rPr>
            </w:pPr>
          </w:p>
        </w:tc>
      </w:tr>
      <w:tr w:rsidR="00F30460" w:rsidRPr="00991899" w14:paraId="4D413BED" w14:textId="77777777" w:rsidTr="00661BCE">
        <w:tc>
          <w:tcPr>
            <w:tcW w:w="709" w:type="dxa"/>
            <w:shd w:val="clear" w:color="auto" w:fill="D9D9D9" w:themeFill="background1" w:themeFillShade="D9"/>
          </w:tcPr>
          <w:p w14:paraId="56FCFD39" w14:textId="68CA77F1" w:rsidR="00F30460" w:rsidRPr="00BF3F76" w:rsidRDefault="006375B7" w:rsidP="00AD29FC">
            <w:pPr>
              <w:rPr>
                <w:b/>
                <w:bCs/>
                <w:sz w:val="20"/>
                <w:szCs w:val="20"/>
              </w:rPr>
            </w:pPr>
            <w:r w:rsidRPr="00AD29FC">
              <w:rPr>
                <w:b/>
                <w:bCs/>
                <w:sz w:val="20"/>
                <w:szCs w:val="20"/>
                <w:lang w:val="en-US"/>
              </w:rPr>
              <w:t>III.   </w:t>
            </w:r>
          </w:p>
        </w:tc>
        <w:tc>
          <w:tcPr>
            <w:tcW w:w="5677" w:type="dxa"/>
            <w:shd w:val="clear" w:color="auto" w:fill="D9D9D9" w:themeFill="background1" w:themeFillShade="D9"/>
          </w:tcPr>
          <w:p w14:paraId="428B69CB" w14:textId="14A77A44" w:rsidR="00F30460" w:rsidRPr="00BF3F76" w:rsidRDefault="006375B7" w:rsidP="006375B7">
            <w:pPr>
              <w:spacing w:after="160" w:line="259" w:lineRule="auto"/>
              <w:rPr>
                <w:b/>
                <w:bCs/>
                <w:sz w:val="20"/>
                <w:szCs w:val="20"/>
                <w:lang w:val="en-US"/>
              </w:rPr>
            </w:pPr>
            <w:r w:rsidRPr="00AD29FC">
              <w:rPr>
                <w:b/>
                <w:bCs/>
                <w:sz w:val="20"/>
                <w:szCs w:val="20"/>
                <w:lang w:val="en-US"/>
              </w:rPr>
              <w:t>Responsibility statement and statement on the competent authority</w:t>
            </w:r>
          </w:p>
        </w:tc>
        <w:tc>
          <w:tcPr>
            <w:tcW w:w="1128" w:type="dxa"/>
            <w:shd w:val="clear" w:color="auto" w:fill="D9D9D9" w:themeFill="background1" w:themeFillShade="D9"/>
          </w:tcPr>
          <w:p w14:paraId="796674C6" w14:textId="77777777" w:rsidR="00F30460" w:rsidRPr="00BF3F76" w:rsidRDefault="00F30460">
            <w:pPr>
              <w:rPr>
                <w:sz w:val="20"/>
                <w:szCs w:val="20"/>
                <w:lang w:val="en-US"/>
              </w:rPr>
            </w:pPr>
          </w:p>
        </w:tc>
        <w:tc>
          <w:tcPr>
            <w:tcW w:w="3260" w:type="dxa"/>
            <w:shd w:val="clear" w:color="auto" w:fill="D9D9D9" w:themeFill="background1" w:themeFillShade="D9"/>
          </w:tcPr>
          <w:p w14:paraId="6A9ABC93" w14:textId="77777777" w:rsidR="00F30460" w:rsidRPr="00BF3F76" w:rsidRDefault="00F30460">
            <w:pPr>
              <w:rPr>
                <w:sz w:val="20"/>
                <w:szCs w:val="20"/>
                <w:lang w:val="en-US"/>
              </w:rPr>
            </w:pPr>
          </w:p>
        </w:tc>
      </w:tr>
      <w:tr w:rsidR="00F30460" w:rsidRPr="00BF3F76" w14:paraId="78B6E37E" w14:textId="77777777" w:rsidTr="00BF3F76">
        <w:tc>
          <w:tcPr>
            <w:tcW w:w="709" w:type="dxa"/>
          </w:tcPr>
          <w:p w14:paraId="48FE06C2" w14:textId="4D953324" w:rsidR="00F30460" w:rsidRPr="00BF3F76" w:rsidRDefault="006375B7" w:rsidP="00AD29FC">
            <w:pPr>
              <w:rPr>
                <w:b/>
                <w:bCs/>
                <w:sz w:val="20"/>
                <w:szCs w:val="20"/>
              </w:rPr>
            </w:pPr>
            <w:r w:rsidRPr="00BF3F76">
              <w:rPr>
                <w:b/>
                <w:bCs/>
                <w:sz w:val="20"/>
                <w:szCs w:val="20"/>
              </w:rPr>
              <w:t>1</w:t>
            </w:r>
          </w:p>
        </w:tc>
        <w:tc>
          <w:tcPr>
            <w:tcW w:w="5677" w:type="dxa"/>
          </w:tcPr>
          <w:p w14:paraId="54560D21" w14:textId="3D425A62" w:rsidR="00F30460" w:rsidRPr="00BF3F76" w:rsidRDefault="006375B7">
            <w:pPr>
              <w:rPr>
                <w:b/>
                <w:bCs/>
                <w:sz w:val="20"/>
                <w:szCs w:val="20"/>
              </w:rPr>
            </w:pPr>
            <w:r w:rsidRPr="00AD29FC">
              <w:rPr>
                <w:b/>
                <w:bCs/>
                <w:sz w:val="20"/>
                <w:szCs w:val="20"/>
                <w:lang w:val="en-US"/>
              </w:rPr>
              <w:t>Responsibility statement</w:t>
            </w:r>
          </w:p>
        </w:tc>
        <w:tc>
          <w:tcPr>
            <w:tcW w:w="1128" w:type="dxa"/>
          </w:tcPr>
          <w:p w14:paraId="04427DDD" w14:textId="77777777" w:rsidR="00F30460" w:rsidRPr="00BF3F76" w:rsidRDefault="00F30460">
            <w:pPr>
              <w:rPr>
                <w:sz w:val="20"/>
                <w:szCs w:val="20"/>
                <w:lang w:val="en-US"/>
              </w:rPr>
            </w:pPr>
          </w:p>
        </w:tc>
        <w:tc>
          <w:tcPr>
            <w:tcW w:w="3260" w:type="dxa"/>
          </w:tcPr>
          <w:p w14:paraId="05E336B8" w14:textId="77777777" w:rsidR="00F30460" w:rsidRPr="00BF3F76" w:rsidRDefault="00F30460">
            <w:pPr>
              <w:rPr>
                <w:sz w:val="20"/>
                <w:szCs w:val="20"/>
                <w:lang w:val="en-US"/>
              </w:rPr>
            </w:pPr>
          </w:p>
        </w:tc>
      </w:tr>
      <w:tr w:rsidR="00F30460" w:rsidRPr="00991899" w14:paraId="5F560E2C" w14:textId="77777777" w:rsidTr="00BF3F76">
        <w:tc>
          <w:tcPr>
            <w:tcW w:w="709" w:type="dxa"/>
          </w:tcPr>
          <w:p w14:paraId="026971E3" w14:textId="77777777" w:rsidR="00F30460" w:rsidRPr="00BF3F76" w:rsidRDefault="00F30460" w:rsidP="00AD29FC">
            <w:pPr>
              <w:rPr>
                <w:b/>
                <w:bCs/>
                <w:sz w:val="20"/>
                <w:szCs w:val="20"/>
              </w:rPr>
            </w:pPr>
          </w:p>
        </w:tc>
        <w:tc>
          <w:tcPr>
            <w:tcW w:w="5677" w:type="dxa"/>
          </w:tcPr>
          <w:p w14:paraId="4C0334BF" w14:textId="77777777" w:rsidR="00F30460" w:rsidRPr="00AD29FC" w:rsidRDefault="00F30460" w:rsidP="00F30460">
            <w:pPr>
              <w:spacing w:after="160" w:line="259" w:lineRule="auto"/>
              <w:rPr>
                <w:sz w:val="20"/>
                <w:szCs w:val="20"/>
                <w:lang w:val="en-US"/>
              </w:rPr>
            </w:pPr>
            <w:r w:rsidRPr="00AD29FC">
              <w:rPr>
                <w:sz w:val="20"/>
                <w:szCs w:val="20"/>
                <w:lang w:val="en-US"/>
              </w:rPr>
              <w:t>Identify the persons responsible for drawing up the EU Recovery prospectus and include a statement by those persons that, to the best of their knowledge, the information contained in the EU Recovery prospectus is in accordance with the facts and that the EU Recovery prospectus makes no omission likely to affect its import.</w:t>
            </w:r>
          </w:p>
          <w:p w14:paraId="320B5EF3" w14:textId="77777777" w:rsidR="00F30460" w:rsidRPr="00AD29FC" w:rsidRDefault="00F30460" w:rsidP="00F30460">
            <w:pPr>
              <w:spacing w:after="160" w:line="259" w:lineRule="auto"/>
              <w:rPr>
                <w:sz w:val="20"/>
                <w:szCs w:val="20"/>
                <w:lang w:val="en-US"/>
              </w:rPr>
            </w:pPr>
            <w:r w:rsidRPr="00AD29FC">
              <w:rPr>
                <w:sz w:val="20"/>
                <w:szCs w:val="20"/>
                <w:lang w:val="en-US"/>
              </w:rPr>
              <w:t>Where applicable, the statement must contain information sourced from third parties, including the source(s) of that information, and statements or reports attributed to a person as an expert and the following details of that person:</w:t>
            </w:r>
          </w:p>
          <w:tbl>
            <w:tblPr>
              <w:tblW w:w="5000" w:type="pct"/>
              <w:tblCellMar>
                <w:left w:w="0" w:type="dxa"/>
                <w:right w:w="0" w:type="dxa"/>
              </w:tblCellMar>
              <w:tblLook w:val="04A0" w:firstRow="1" w:lastRow="0" w:firstColumn="1" w:lastColumn="0" w:noHBand="0" w:noVBand="1"/>
            </w:tblPr>
            <w:tblGrid>
              <w:gridCol w:w="1625"/>
              <w:gridCol w:w="3833"/>
            </w:tblGrid>
            <w:tr w:rsidR="00F30460" w:rsidRPr="00AD29FC" w14:paraId="0BE49266" w14:textId="77777777" w:rsidTr="008274CD">
              <w:tc>
                <w:tcPr>
                  <w:tcW w:w="0" w:type="auto"/>
                  <w:shd w:val="clear" w:color="auto" w:fill="auto"/>
                  <w:hideMark/>
                </w:tcPr>
                <w:p w14:paraId="794668C4" w14:textId="77777777" w:rsidR="00F30460" w:rsidRPr="00AD29FC" w:rsidRDefault="00F30460" w:rsidP="00F30460">
                  <w:pPr>
                    <w:rPr>
                      <w:sz w:val="20"/>
                      <w:szCs w:val="20"/>
                    </w:rPr>
                  </w:pPr>
                  <w:r w:rsidRPr="00AD29FC">
                    <w:rPr>
                      <w:sz w:val="20"/>
                      <w:szCs w:val="20"/>
                    </w:rPr>
                    <w:t>(a)</w:t>
                  </w:r>
                </w:p>
              </w:tc>
              <w:tc>
                <w:tcPr>
                  <w:tcW w:w="0" w:type="auto"/>
                  <w:shd w:val="clear" w:color="auto" w:fill="auto"/>
                  <w:hideMark/>
                </w:tcPr>
                <w:p w14:paraId="1D2E14E7" w14:textId="77777777" w:rsidR="00F30460" w:rsidRPr="00AD29FC" w:rsidRDefault="00F30460" w:rsidP="00F30460">
                  <w:pPr>
                    <w:rPr>
                      <w:sz w:val="20"/>
                      <w:szCs w:val="20"/>
                    </w:rPr>
                  </w:pPr>
                  <w:proofErr w:type="spellStart"/>
                  <w:r w:rsidRPr="00AD29FC">
                    <w:rPr>
                      <w:sz w:val="20"/>
                      <w:szCs w:val="20"/>
                    </w:rPr>
                    <w:t>name</w:t>
                  </w:r>
                  <w:proofErr w:type="spellEnd"/>
                  <w:r w:rsidRPr="00AD29FC">
                    <w:rPr>
                      <w:sz w:val="20"/>
                      <w:szCs w:val="20"/>
                    </w:rPr>
                    <w:t>;</w:t>
                  </w:r>
                </w:p>
              </w:tc>
            </w:tr>
          </w:tbl>
          <w:p w14:paraId="5AD11A89" w14:textId="77777777" w:rsidR="00F30460" w:rsidRPr="00AD29FC" w:rsidRDefault="00F30460" w:rsidP="00F30460">
            <w:pPr>
              <w:spacing w:after="160" w:line="259" w:lineRule="auto"/>
              <w:rPr>
                <w:vanish/>
                <w:sz w:val="20"/>
                <w:szCs w:val="20"/>
              </w:rPr>
            </w:pPr>
          </w:p>
          <w:tbl>
            <w:tblPr>
              <w:tblW w:w="5000" w:type="pct"/>
              <w:tblCellMar>
                <w:left w:w="0" w:type="dxa"/>
                <w:right w:w="0" w:type="dxa"/>
              </w:tblCellMar>
              <w:tblLook w:val="04A0" w:firstRow="1" w:lastRow="0" w:firstColumn="1" w:lastColumn="0" w:noHBand="0" w:noVBand="1"/>
            </w:tblPr>
            <w:tblGrid>
              <w:gridCol w:w="750"/>
              <w:gridCol w:w="4708"/>
            </w:tblGrid>
            <w:tr w:rsidR="00F30460" w:rsidRPr="00AD29FC" w14:paraId="1C0C4266" w14:textId="77777777" w:rsidTr="008274CD">
              <w:tc>
                <w:tcPr>
                  <w:tcW w:w="0" w:type="auto"/>
                  <w:shd w:val="clear" w:color="auto" w:fill="auto"/>
                  <w:hideMark/>
                </w:tcPr>
                <w:p w14:paraId="22F3DE8D" w14:textId="77777777" w:rsidR="00F30460" w:rsidRPr="00AD29FC" w:rsidRDefault="00F30460" w:rsidP="00F30460">
                  <w:pPr>
                    <w:rPr>
                      <w:sz w:val="20"/>
                      <w:szCs w:val="20"/>
                    </w:rPr>
                  </w:pPr>
                  <w:r w:rsidRPr="00AD29FC">
                    <w:rPr>
                      <w:sz w:val="20"/>
                      <w:szCs w:val="20"/>
                    </w:rPr>
                    <w:t>(b)</w:t>
                  </w:r>
                </w:p>
              </w:tc>
              <w:tc>
                <w:tcPr>
                  <w:tcW w:w="0" w:type="auto"/>
                  <w:shd w:val="clear" w:color="auto" w:fill="auto"/>
                  <w:hideMark/>
                </w:tcPr>
                <w:p w14:paraId="00AD8677" w14:textId="77777777" w:rsidR="00F30460" w:rsidRPr="00AD29FC" w:rsidRDefault="00F30460" w:rsidP="00F30460">
                  <w:pPr>
                    <w:rPr>
                      <w:sz w:val="20"/>
                      <w:szCs w:val="20"/>
                    </w:rPr>
                  </w:pPr>
                  <w:r w:rsidRPr="00AD29FC">
                    <w:rPr>
                      <w:sz w:val="20"/>
                      <w:szCs w:val="20"/>
                    </w:rPr>
                    <w:t xml:space="preserve">business </w:t>
                  </w:r>
                  <w:proofErr w:type="spellStart"/>
                  <w:r w:rsidRPr="00AD29FC">
                    <w:rPr>
                      <w:sz w:val="20"/>
                      <w:szCs w:val="20"/>
                    </w:rPr>
                    <w:t>address</w:t>
                  </w:r>
                  <w:proofErr w:type="spellEnd"/>
                  <w:r w:rsidRPr="00AD29FC">
                    <w:rPr>
                      <w:sz w:val="20"/>
                      <w:szCs w:val="20"/>
                    </w:rPr>
                    <w:t>;</w:t>
                  </w:r>
                </w:p>
              </w:tc>
            </w:tr>
          </w:tbl>
          <w:p w14:paraId="1D5BFB41" w14:textId="77777777" w:rsidR="00F30460" w:rsidRPr="00AD29FC" w:rsidRDefault="00F30460" w:rsidP="00F30460">
            <w:pPr>
              <w:spacing w:after="160" w:line="259" w:lineRule="auto"/>
              <w:rPr>
                <w:vanish/>
                <w:sz w:val="20"/>
                <w:szCs w:val="20"/>
              </w:rPr>
            </w:pPr>
          </w:p>
          <w:tbl>
            <w:tblPr>
              <w:tblW w:w="5000" w:type="pct"/>
              <w:tblCellMar>
                <w:left w:w="0" w:type="dxa"/>
                <w:right w:w="0" w:type="dxa"/>
              </w:tblCellMar>
              <w:tblLook w:val="04A0" w:firstRow="1" w:lastRow="0" w:firstColumn="1" w:lastColumn="0" w:noHBand="0" w:noVBand="1"/>
            </w:tblPr>
            <w:tblGrid>
              <w:gridCol w:w="662"/>
              <w:gridCol w:w="4796"/>
            </w:tblGrid>
            <w:tr w:rsidR="00F30460" w:rsidRPr="00AD29FC" w14:paraId="42AB8749" w14:textId="77777777" w:rsidTr="008274CD">
              <w:tc>
                <w:tcPr>
                  <w:tcW w:w="0" w:type="auto"/>
                  <w:shd w:val="clear" w:color="auto" w:fill="auto"/>
                  <w:hideMark/>
                </w:tcPr>
                <w:p w14:paraId="6CC2B46E" w14:textId="77777777" w:rsidR="00F30460" w:rsidRPr="00AD29FC" w:rsidRDefault="00F30460" w:rsidP="00F30460">
                  <w:pPr>
                    <w:rPr>
                      <w:sz w:val="20"/>
                      <w:szCs w:val="20"/>
                    </w:rPr>
                  </w:pPr>
                  <w:r w:rsidRPr="00AD29FC">
                    <w:rPr>
                      <w:sz w:val="20"/>
                      <w:szCs w:val="20"/>
                    </w:rPr>
                    <w:t>(c)</w:t>
                  </w:r>
                </w:p>
              </w:tc>
              <w:tc>
                <w:tcPr>
                  <w:tcW w:w="0" w:type="auto"/>
                  <w:shd w:val="clear" w:color="auto" w:fill="auto"/>
                  <w:hideMark/>
                </w:tcPr>
                <w:p w14:paraId="0490D0EB" w14:textId="77777777" w:rsidR="00F30460" w:rsidRPr="00AD29FC" w:rsidRDefault="00F30460" w:rsidP="00F30460">
                  <w:pPr>
                    <w:rPr>
                      <w:sz w:val="20"/>
                      <w:szCs w:val="20"/>
                    </w:rPr>
                  </w:pPr>
                  <w:proofErr w:type="spellStart"/>
                  <w:r w:rsidRPr="00AD29FC">
                    <w:rPr>
                      <w:sz w:val="20"/>
                      <w:szCs w:val="20"/>
                    </w:rPr>
                    <w:t>qualifications</w:t>
                  </w:r>
                  <w:proofErr w:type="spellEnd"/>
                  <w:r w:rsidRPr="00AD29FC">
                    <w:rPr>
                      <w:sz w:val="20"/>
                      <w:szCs w:val="20"/>
                    </w:rPr>
                    <w:t>; and</w:t>
                  </w:r>
                </w:p>
              </w:tc>
            </w:tr>
          </w:tbl>
          <w:p w14:paraId="4971D309" w14:textId="77777777" w:rsidR="00F30460" w:rsidRPr="00AD29FC" w:rsidRDefault="00F30460" w:rsidP="00F30460">
            <w:pPr>
              <w:spacing w:after="160" w:line="259" w:lineRule="auto"/>
              <w:rPr>
                <w:vanish/>
                <w:sz w:val="20"/>
                <w:szCs w:val="20"/>
              </w:rPr>
            </w:pPr>
          </w:p>
          <w:tbl>
            <w:tblPr>
              <w:tblW w:w="5000" w:type="pct"/>
              <w:tblCellMar>
                <w:left w:w="0" w:type="dxa"/>
                <w:right w:w="0" w:type="dxa"/>
              </w:tblCellMar>
              <w:tblLook w:val="04A0" w:firstRow="1" w:lastRow="0" w:firstColumn="1" w:lastColumn="0" w:noHBand="0" w:noVBand="1"/>
            </w:tblPr>
            <w:tblGrid>
              <w:gridCol w:w="378"/>
              <w:gridCol w:w="5080"/>
            </w:tblGrid>
            <w:tr w:rsidR="00F30460" w:rsidRPr="00991899" w14:paraId="78AC901C" w14:textId="77777777" w:rsidTr="008274CD">
              <w:tc>
                <w:tcPr>
                  <w:tcW w:w="0" w:type="auto"/>
                  <w:shd w:val="clear" w:color="auto" w:fill="auto"/>
                  <w:hideMark/>
                </w:tcPr>
                <w:p w14:paraId="2EB9E01B" w14:textId="77777777" w:rsidR="00F30460" w:rsidRPr="00AD29FC" w:rsidRDefault="00F30460" w:rsidP="00F30460">
                  <w:pPr>
                    <w:rPr>
                      <w:sz w:val="20"/>
                      <w:szCs w:val="20"/>
                    </w:rPr>
                  </w:pPr>
                  <w:r w:rsidRPr="00AD29FC">
                    <w:rPr>
                      <w:sz w:val="20"/>
                      <w:szCs w:val="20"/>
                    </w:rPr>
                    <w:t>(d)</w:t>
                  </w:r>
                </w:p>
              </w:tc>
              <w:tc>
                <w:tcPr>
                  <w:tcW w:w="0" w:type="auto"/>
                  <w:shd w:val="clear" w:color="auto" w:fill="auto"/>
                  <w:hideMark/>
                </w:tcPr>
                <w:p w14:paraId="2BD72B80" w14:textId="77777777" w:rsidR="00F30460" w:rsidRPr="00AD29FC" w:rsidRDefault="00F30460" w:rsidP="00F30460">
                  <w:pPr>
                    <w:rPr>
                      <w:sz w:val="20"/>
                      <w:szCs w:val="20"/>
                      <w:lang w:val="en-US"/>
                    </w:rPr>
                  </w:pPr>
                  <w:r w:rsidRPr="00AD29FC">
                    <w:rPr>
                      <w:sz w:val="20"/>
                      <w:szCs w:val="20"/>
                      <w:lang w:val="en-US"/>
                    </w:rPr>
                    <w:t>material interest (if any) in the issuer.</w:t>
                  </w:r>
                </w:p>
              </w:tc>
            </w:tr>
          </w:tbl>
          <w:p w14:paraId="2242BCA0" w14:textId="77777777" w:rsidR="00F30460" w:rsidRPr="00BF3F76" w:rsidRDefault="00F30460">
            <w:pPr>
              <w:rPr>
                <w:b/>
                <w:bCs/>
                <w:sz w:val="20"/>
                <w:szCs w:val="20"/>
                <w:lang w:val="en-US"/>
              </w:rPr>
            </w:pPr>
          </w:p>
        </w:tc>
        <w:tc>
          <w:tcPr>
            <w:tcW w:w="1128" w:type="dxa"/>
          </w:tcPr>
          <w:p w14:paraId="754B1194" w14:textId="77777777" w:rsidR="00F30460" w:rsidRPr="00BF3F76" w:rsidRDefault="00F30460">
            <w:pPr>
              <w:rPr>
                <w:sz w:val="20"/>
                <w:szCs w:val="20"/>
                <w:lang w:val="en-US"/>
              </w:rPr>
            </w:pPr>
          </w:p>
        </w:tc>
        <w:tc>
          <w:tcPr>
            <w:tcW w:w="3260" w:type="dxa"/>
          </w:tcPr>
          <w:p w14:paraId="5BEE483C" w14:textId="77777777" w:rsidR="00F30460" w:rsidRPr="00BF3F76" w:rsidRDefault="00F30460">
            <w:pPr>
              <w:rPr>
                <w:sz w:val="20"/>
                <w:szCs w:val="20"/>
                <w:lang w:val="en-US"/>
              </w:rPr>
            </w:pPr>
          </w:p>
        </w:tc>
      </w:tr>
      <w:tr w:rsidR="00F30460" w:rsidRPr="00991899" w14:paraId="16E77518" w14:textId="77777777" w:rsidTr="00BF3F76">
        <w:tc>
          <w:tcPr>
            <w:tcW w:w="709" w:type="dxa"/>
          </w:tcPr>
          <w:p w14:paraId="640DFE6E" w14:textId="32A767CA" w:rsidR="00F30460" w:rsidRPr="00BF3F76" w:rsidRDefault="00F30460" w:rsidP="00AD29FC">
            <w:pPr>
              <w:rPr>
                <w:b/>
                <w:bCs/>
                <w:sz w:val="20"/>
                <w:szCs w:val="20"/>
              </w:rPr>
            </w:pPr>
            <w:r w:rsidRPr="00BF3F76">
              <w:rPr>
                <w:b/>
                <w:bCs/>
                <w:sz w:val="20"/>
                <w:szCs w:val="20"/>
              </w:rPr>
              <w:t>2</w:t>
            </w:r>
          </w:p>
        </w:tc>
        <w:tc>
          <w:tcPr>
            <w:tcW w:w="5677" w:type="dxa"/>
          </w:tcPr>
          <w:p w14:paraId="07E69E34" w14:textId="4957F1A9" w:rsidR="00F30460" w:rsidRPr="00BF3F76" w:rsidRDefault="00F30460">
            <w:pPr>
              <w:rPr>
                <w:b/>
                <w:bCs/>
                <w:sz w:val="20"/>
                <w:szCs w:val="20"/>
                <w:lang w:val="en-US"/>
              </w:rPr>
            </w:pPr>
            <w:r w:rsidRPr="00AD29FC">
              <w:rPr>
                <w:b/>
                <w:bCs/>
                <w:sz w:val="20"/>
                <w:szCs w:val="20"/>
                <w:lang w:val="en-US"/>
              </w:rPr>
              <w:t>Statement on the competent authority</w:t>
            </w:r>
          </w:p>
        </w:tc>
        <w:tc>
          <w:tcPr>
            <w:tcW w:w="1128" w:type="dxa"/>
          </w:tcPr>
          <w:p w14:paraId="354FD502" w14:textId="77777777" w:rsidR="00F30460" w:rsidRPr="00BF3F76" w:rsidRDefault="00F30460">
            <w:pPr>
              <w:rPr>
                <w:sz w:val="20"/>
                <w:szCs w:val="20"/>
                <w:lang w:val="en-US"/>
              </w:rPr>
            </w:pPr>
          </w:p>
        </w:tc>
        <w:tc>
          <w:tcPr>
            <w:tcW w:w="3260" w:type="dxa"/>
          </w:tcPr>
          <w:p w14:paraId="52AB7655" w14:textId="77777777" w:rsidR="00F30460" w:rsidRPr="00BF3F76" w:rsidRDefault="00F30460">
            <w:pPr>
              <w:rPr>
                <w:sz w:val="20"/>
                <w:szCs w:val="20"/>
                <w:lang w:val="en-US"/>
              </w:rPr>
            </w:pPr>
          </w:p>
        </w:tc>
      </w:tr>
      <w:tr w:rsidR="00F30460" w:rsidRPr="00716E49" w14:paraId="330F0283" w14:textId="77777777" w:rsidTr="00BF3F76">
        <w:tc>
          <w:tcPr>
            <w:tcW w:w="709" w:type="dxa"/>
          </w:tcPr>
          <w:p w14:paraId="6495C9BD" w14:textId="77777777" w:rsidR="00F30460" w:rsidRPr="00BF3F76" w:rsidRDefault="00F30460" w:rsidP="00AD29FC">
            <w:pPr>
              <w:rPr>
                <w:b/>
                <w:bCs/>
                <w:sz w:val="20"/>
                <w:szCs w:val="20"/>
                <w:lang w:val="en-US"/>
              </w:rPr>
            </w:pPr>
          </w:p>
        </w:tc>
        <w:tc>
          <w:tcPr>
            <w:tcW w:w="5677" w:type="dxa"/>
          </w:tcPr>
          <w:p w14:paraId="61693731" w14:textId="780A4ADB" w:rsidR="00F30460" w:rsidRPr="00BF3F76" w:rsidRDefault="00F30460" w:rsidP="006375B7">
            <w:pPr>
              <w:spacing w:after="160" w:line="259" w:lineRule="auto"/>
              <w:rPr>
                <w:sz w:val="20"/>
                <w:szCs w:val="20"/>
                <w:lang w:val="en-US"/>
              </w:rPr>
            </w:pPr>
            <w:r w:rsidRPr="00AD29FC">
              <w:rPr>
                <w:sz w:val="20"/>
                <w:szCs w:val="20"/>
                <w:lang w:val="en-US"/>
              </w:rPr>
              <w:t xml:space="preserve">The statement must indicate the competent authority that has approved, in accordance with this Regulation, the EU Recovery prospectus, specify that such approval is not an endorsement of the issuer nor of the quality of the shares to which the EU Recovery prospectus relates, that the competent authority has only approved the EU Recovery prospectus as meeting the standards of completeness, comprehensibility and consistency </w:t>
            </w:r>
            <w:r w:rsidRPr="00AD29FC">
              <w:rPr>
                <w:sz w:val="20"/>
                <w:szCs w:val="20"/>
                <w:lang w:val="en-US"/>
              </w:rPr>
              <w:lastRenderedPageBreak/>
              <w:t>imposed by this Regulation, and specify that the EU Recovery prospectus has been drawn up in accordance with Article 14a.</w:t>
            </w:r>
          </w:p>
        </w:tc>
        <w:tc>
          <w:tcPr>
            <w:tcW w:w="1128" w:type="dxa"/>
          </w:tcPr>
          <w:p w14:paraId="1C774358" w14:textId="77777777" w:rsidR="00F30460" w:rsidRPr="00BF3F76" w:rsidRDefault="00F30460">
            <w:pPr>
              <w:rPr>
                <w:sz w:val="20"/>
                <w:szCs w:val="20"/>
                <w:lang w:val="en-US"/>
              </w:rPr>
            </w:pPr>
          </w:p>
        </w:tc>
        <w:tc>
          <w:tcPr>
            <w:tcW w:w="3260" w:type="dxa"/>
          </w:tcPr>
          <w:p w14:paraId="265F5A11" w14:textId="31988433" w:rsidR="00F30460" w:rsidRPr="00BF3F76" w:rsidRDefault="00F30460">
            <w:pPr>
              <w:rPr>
                <w:sz w:val="20"/>
                <w:szCs w:val="20"/>
                <w:lang w:val="en-US"/>
              </w:rPr>
            </w:pPr>
          </w:p>
        </w:tc>
      </w:tr>
      <w:tr w:rsidR="00F30460" w:rsidRPr="00BF3F76" w14:paraId="11822E42" w14:textId="77777777" w:rsidTr="009D3351">
        <w:tc>
          <w:tcPr>
            <w:tcW w:w="709" w:type="dxa"/>
            <w:shd w:val="clear" w:color="auto" w:fill="D9D9D9" w:themeFill="background1" w:themeFillShade="D9"/>
          </w:tcPr>
          <w:p w14:paraId="2962884B" w14:textId="3ACB34ED" w:rsidR="00F30460" w:rsidRPr="00BF3F76" w:rsidRDefault="00F30460" w:rsidP="00AD29FC">
            <w:pPr>
              <w:rPr>
                <w:b/>
                <w:bCs/>
                <w:sz w:val="20"/>
                <w:szCs w:val="20"/>
              </w:rPr>
            </w:pPr>
            <w:r w:rsidRPr="00AD29FC">
              <w:rPr>
                <w:b/>
                <w:bCs/>
                <w:sz w:val="20"/>
                <w:szCs w:val="20"/>
                <w:lang w:val="en-US"/>
              </w:rPr>
              <w:t>IV.   </w:t>
            </w:r>
          </w:p>
        </w:tc>
        <w:tc>
          <w:tcPr>
            <w:tcW w:w="5677" w:type="dxa"/>
            <w:shd w:val="clear" w:color="auto" w:fill="D9D9D9" w:themeFill="background1" w:themeFillShade="D9"/>
          </w:tcPr>
          <w:p w14:paraId="44136A1B" w14:textId="3DE6B0B0" w:rsidR="00F30460" w:rsidRPr="00BF3F76" w:rsidRDefault="00F30460" w:rsidP="006375B7">
            <w:pPr>
              <w:spacing w:after="160" w:line="259" w:lineRule="auto"/>
              <w:rPr>
                <w:b/>
                <w:bCs/>
                <w:sz w:val="20"/>
                <w:szCs w:val="20"/>
                <w:lang w:val="en-US"/>
              </w:rPr>
            </w:pPr>
            <w:r w:rsidRPr="00AD29FC">
              <w:rPr>
                <w:b/>
                <w:bCs/>
                <w:sz w:val="20"/>
                <w:szCs w:val="20"/>
                <w:lang w:val="en-US"/>
              </w:rPr>
              <w:t>Risk factors</w:t>
            </w:r>
          </w:p>
        </w:tc>
        <w:tc>
          <w:tcPr>
            <w:tcW w:w="1128" w:type="dxa"/>
            <w:shd w:val="clear" w:color="auto" w:fill="D9D9D9" w:themeFill="background1" w:themeFillShade="D9"/>
          </w:tcPr>
          <w:p w14:paraId="37DA64E0" w14:textId="77777777" w:rsidR="00F30460" w:rsidRPr="00BF3F76" w:rsidRDefault="00F30460">
            <w:pPr>
              <w:rPr>
                <w:sz w:val="20"/>
                <w:szCs w:val="20"/>
                <w:lang w:val="en-US"/>
              </w:rPr>
            </w:pPr>
          </w:p>
        </w:tc>
        <w:tc>
          <w:tcPr>
            <w:tcW w:w="3260" w:type="dxa"/>
            <w:shd w:val="clear" w:color="auto" w:fill="D9D9D9" w:themeFill="background1" w:themeFillShade="D9"/>
          </w:tcPr>
          <w:p w14:paraId="505CC1C3" w14:textId="77777777" w:rsidR="00F30460" w:rsidRPr="00BF3F76" w:rsidRDefault="00F30460">
            <w:pPr>
              <w:rPr>
                <w:sz w:val="20"/>
                <w:szCs w:val="20"/>
                <w:lang w:val="en-US"/>
              </w:rPr>
            </w:pPr>
          </w:p>
        </w:tc>
      </w:tr>
      <w:tr w:rsidR="00F30460" w:rsidRPr="00716E49" w14:paraId="528EFD61" w14:textId="77777777" w:rsidTr="00BF3F76">
        <w:tc>
          <w:tcPr>
            <w:tcW w:w="709" w:type="dxa"/>
          </w:tcPr>
          <w:p w14:paraId="1F731BA9" w14:textId="77777777" w:rsidR="00F30460" w:rsidRPr="00BF3F76" w:rsidRDefault="00F30460" w:rsidP="00AD29FC">
            <w:pPr>
              <w:rPr>
                <w:b/>
                <w:bCs/>
                <w:sz w:val="20"/>
                <w:szCs w:val="20"/>
              </w:rPr>
            </w:pPr>
          </w:p>
        </w:tc>
        <w:tc>
          <w:tcPr>
            <w:tcW w:w="5677" w:type="dxa"/>
          </w:tcPr>
          <w:p w14:paraId="2B681B6F" w14:textId="77777777" w:rsidR="00F30460" w:rsidRPr="00AD29FC" w:rsidRDefault="00F30460" w:rsidP="00F30460">
            <w:pPr>
              <w:spacing w:after="160" w:line="259" w:lineRule="auto"/>
              <w:rPr>
                <w:sz w:val="20"/>
                <w:szCs w:val="20"/>
                <w:lang w:val="en-US"/>
              </w:rPr>
            </w:pPr>
            <w:r w:rsidRPr="00AD29FC">
              <w:rPr>
                <w:sz w:val="20"/>
                <w:szCs w:val="20"/>
                <w:lang w:val="en-US"/>
              </w:rPr>
              <w:t>A description of the material risks that are specific to the issuer and a description of the material risks that are specific to the shares being offered to the public and/or admitted to trading on a regulated market, in a limited number of categories, in a section headed “Risk Factors”.</w:t>
            </w:r>
          </w:p>
          <w:p w14:paraId="1DF8D486" w14:textId="561536F6" w:rsidR="00F30460" w:rsidRPr="00BF3F76" w:rsidRDefault="00F30460" w:rsidP="006375B7">
            <w:pPr>
              <w:spacing w:after="160" w:line="259" w:lineRule="auto"/>
              <w:rPr>
                <w:sz w:val="20"/>
                <w:szCs w:val="20"/>
                <w:lang w:val="en-US"/>
              </w:rPr>
            </w:pPr>
            <w:r w:rsidRPr="00AD29FC">
              <w:rPr>
                <w:sz w:val="20"/>
                <w:szCs w:val="20"/>
                <w:lang w:val="en-US"/>
              </w:rPr>
              <w:t xml:space="preserve">In each category, the most material risks, in the assessment undertaken by the issuer, offeror or person asking for admission to trading on a regulated market, </w:t>
            </w:r>
            <w:proofErr w:type="gramStart"/>
            <w:r w:rsidRPr="00AD29FC">
              <w:rPr>
                <w:sz w:val="20"/>
                <w:szCs w:val="20"/>
                <w:lang w:val="en-US"/>
              </w:rPr>
              <w:t>taking into account</w:t>
            </w:r>
            <w:proofErr w:type="gramEnd"/>
            <w:r w:rsidRPr="00AD29FC">
              <w:rPr>
                <w:sz w:val="20"/>
                <w:szCs w:val="20"/>
                <w:lang w:val="en-US"/>
              </w:rPr>
              <w:t xml:space="preserve"> the negative impact on the issuer as well as on the shares being offered to the public and/or admitted to trading on a regulated market and the probability of their occurrence, shall be set out first. The risks shall be corroborated by the content of the EU Recovery prospectus.</w:t>
            </w:r>
          </w:p>
        </w:tc>
        <w:tc>
          <w:tcPr>
            <w:tcW w:w="1128" w:type="dxa"/>
          </w:tcPr>
          <w:p w14:paraId="6DFDE002" w14:textId="77777777" w:rsidR="00F30460" w:rsidRPr="00BF3F76" w:rsidRDefault="00F30460">
            <w:pPr>
              <w:rPr>
                <w:sz w:val="20"/>
                <w:szCs w:val="20"/>
                <w:lang w:val="en-US"/>
              </w:rPr>
            </w:pPr>
          </w:p>
        </w:tc>
        <w:tc>
          <w:tcPr>
            <w:tcW w:w="3260" w:type="dxa"/>
          </w:tcPr>
          <w:p w14:paraId="3F87A9EF" w14:textId="43145EE3" w:rsidR="00F30460" w:rsidRPr="00BF3F76" w:rsidRDefault="00F30460">
            <w:pPr>
              <w:rPr>
                <w:sz w:val="20"/>
                <w:szCs w:val="20"/>
                <w:lang w:val="en-US"/>
              </w:rPr>
            </w:pPr>
          </w:p>
        </w:tc>
      </w:tr>
      <w:tr w:rsidR="00F30460" w:rsidRPr="00BF3F76" w14:paraId="389326E4" w14:textId="77777777" w:rsidTr="009D3351">
        <w:tc>
          <w:tcPr>
            <w:tcW w:w="709" w:type="dxa"/>
            <w:shd w:val="clear" w:color="auto" w:fill="D9D9D9" w:themeFill="background1" w:themeFillShade="D9"/>
          </w:tcPr>
          <w:p w14:paraId="2F3C7F28" w14:textId="3E5E8C1B" w:rsidR="00F30460" w:rsidRPr="00BF3F76" w:rsidRDefault="006375B7" w:rsidP="00AD29FC">
            <w:pPr>
              <w:rPr>
                <w:b/>
                <w:bCs/>
                <w:sz w:val="20"/>
                <w:szCs w:val="20"/>
                <w:lang w:val="en-US"/>
              </w:rPr>
            </w:pPr>
            <w:r w:rsidRPr="00AD29FC">
              <w:rPr>
                <w:b/>
                <w:bCs/>
                <w:sz w:val="20"/>
                <w:szCs w:val="20"/>
                <w:lang w:val="en-US"/>
              </w:rPr>
              <w:t>V.   </w:t>
            </w:r>
          </w:p>
        </w:tc>
        <w:tc>
          <w:tcPr>
            <w:tcW w:w="5677" w:type="dxa"/>
            <w:shd w:val="clear" w:color="auto" w:fill="D9D9D9" w:themeFill="background1" w:themeFillShade="D9"/>
          </w:tcPr>
          <w:p w14:paraId="3EE6DBC0" w14:textId="14B6A82D" w:rsidR="00F30460" w:rsidRPr="00BF3F76" w:rsidRDefault="00F30460" w:rsidP="006375B7">
            <w:pPr>
              <w:spacing w:after="160" w:line="259" w:lineRule="auto"/>
              <w:rPr>
                <w:b/>
                <w:bCs/>
                <w:sz w:val="20"/>
                <w:szCs w:val="20"/>
                <w:lang w:val="en-US"/>
              </w:rPr>
            </w:pPr>
            <w:r w:rsidRPr="00AD29FC">
              <w:rPr>
                <w:b/>
                <w:bCs/>
                <w:sz w:val="20"/>
                <w:szCs w:val="20"/>
                <w:lang w:val="en-US"/>
              </w:rPr>
              <w:t>Financial statements</w:t>
            </w:r>
          </w:p>
        </w:tc>
        <w:tc>
          <w:tcPr>
            <w:tcW w:w="1128" w:type="dxa"/>
            <w:shd w:val="clear" w:color="auto" w:fill="D9D9D9" w:themeFill="background1" w:themeFillShade="D9"/>
          </w:tcPr>
          <w:p w14:paraId="398933C3" w14:textId="77777777" w:rsidR="00F30460" w:rsidRPr="00BF3F76" w:rsidRDefault="00F30460">
            <w:pPr>
              <w:rPr>
                <w:sz w:val="20"/>
                <w:szCs w:val="20"/>
                <w:lang w:val="en-US"/>
              </w:rPr>
            </w:pPr>
          </w:p>
        </w:tc>
        <w:tc>
          <w:tcPr>
            <w:tcW w:w="3260" w:type="dxa"/>
            <w:shd w:val="clear" w:color="auto" w:fill="D9D9D9" w:themeFill="background1" w:themeFillShade="D9"/>
          </w:tcPr>
          <w:p w14:paraId="5F937F9A" w14:textId="77777777" w:rsidR="00F30460" w:rsidRPr="00BF3F76" w:rsidRDefault="00F30460">
            <w:pPr>
              <w:rPr>
                <w:sz w:val="20"/>
                <w:szCs w:val="20"/>
                <w:lang w:val="en-US"/>
              </w:rPr>
            </w:pPr>
          </w:p>
        </w:tc>
      </w:tr>
      <w:tr w:rsidR="00F30460" w:rsidRPr="00991899" w14:paraId="3462C91A" w14:textId="77777777" w:rsidTr="00BF3F76">
        <w:tc>
          <w:tcPr>
            <w:tcW w:w="709" w:type="dxa"/>
          </w:tcPr>
          <w:p w14:paraId="6EA9E039" w14:textId="77777777" w:rsidR="00F30460" w:rsidRPr="00BF3F76" w:rsidRDefault="00F30460" w:rsidP="00AD29FC">
            <w:pPr>
              <w:rPr>
                <w:b/>
                <w:bCs/>
                <w:sz w:val="20"/>
                <w:szCs w:val="20"/>
              </w:rPr>
            </w:pPr>
          </w:p>
        </w:tc>
        <w:tc>
          <w:tcPr>
            <w:tcW w:w="5677" w:type="dxa"/>
          </w:tcPr>
          <w:p w14:paraId="012D8E2D" w14:textId="77777777" w:rsidR="00F30460" w:rsidRPr="00AD29FC" w:rsidRDefault="00F30460" w:rsidP="00F30460">
            <w:pPr>
              <w:spacing w:after="160" w:line="259" w:lineRule="auto"/>
              <w:rPr>
                <w:sz w:val="20"/>
                <w:szCs w:val="20"/>
                <w:lang w:val="en-US"/>
              </w:rPr>
            </w:pPr>
            <w:r w:rsidRPr="00AD29FC">
              <w:rPr>
                <w:sz w:val="20"/>
                <w:szCs w:val="20"/>
                <w:lang w:val="en-US"/>
              </w:rPr>
              <w:t>The EU Recovery prospectus must include the financial statements (annual and half-yearly) published over the period of 12 months prior to the approval of the EU Recovery prospectus. Where both annual and half-yearly financial statements have been published, only the annual statements must be required where they postdate the half-yearly financial statements.</w:t>
            </w:r>
          </w:p>
          <w:p w14:paraId="4BB3FD09" w14:textId="77777777" w:rsidR="00F30460" w:rsidRPr="00AD29FC" w:rsidRDefault="00F30460" w:rsidP="00F30460">
            <w:pPr>
              <w:spacing w:after="160" w:line="259" w:lineRule="auto"/>
              <w:rPr>
                <w:sz w:val="20"/>
                <w:szCs w:val="20"/>
                <w:lang w:val="en-US"/>
              </w:rPr>
            </w:pPr>
            <w:r w:rsidRPr="00AD29FC">
              <w:rPr>
                <w:sz w:val="20"/>
                <w:szCs w:val="20"/>
                <w:lang w:val="en-US"/>
              </w:rPr>
              <w:t>The annual financial statements must be independently audited. The audit report must be prepared in accordance with Directive 2006/43/EC of the European Parliament and of the Council </w:t>
            </w:r>
            <w:hyperlink r:id="rId4" w:anchor="ntr1-L_2021068EN.01001002-E0001" w:history="1">
              <w:r w:rsidRPr="00AD29FC">
                <w:rPr>
                  <w:rStyle w:val="Hyperkobling"/>
                  <w:sz w:val="20"/>
                  <w:szCs w:val="20"/>
                  <w:lang w:val="en-US"/>
                </w:rPr>
                <w:t>(</w:t>
              </w:r>
              <w:r w:rsidRPr="00AD29FC">
                <w:rPr>
                  <w:rStyle w:val="Hyperkobling"/>
                  <w:sz w:val="20"/>
                  <w:szCs w:val="20"/>
                  <w:vertAlign w:val="superscript"/>
                  <w:lang w:val="en-US"/>
                </w:rPr>
                <w:t>1</w:t>
              </w:r>
              <w:r w:rsidRPr="00AD29FC">
                <w:rPr>
                  <w:rStyle w:val="Hyperkobling"/>
                  <w:sz w:val="20"/>
                  <w:szCs w:val="20"/>
                  <w:lang w:val="en-US"/>
                </w:rPr>
                <w:t>)</w:t>
              </w:r>
            </w:hyperlink>
            <w:r w:rsidRPr="00AD29FC">
              <w:rPr>
                <w:sz w:val="20"/>
                <w:szCs w:val="20"/>
                <w:lang w:val="en-US"/>
              </w:rPr>
              <w:t> and Regulation (EU) No 537/2014 of the European Parliament and of the Council </w:t>
            </w:r>
            <w:hyperlink r:id="rId5" w:anchor="ntr2-L_2021068EN.01001002-E0002" w:history="1">
              <w:r w:rsidRPr="00AD29FC">
                <w:rPr>
                  <w:rStyle w:val="Hyperkobling"/>
                  <w:sz w:val="20"/>
                  <w:szCs w:val="20"/>
                  <w:lang w:val="en-US"/>
                </w:rPr>
                <w:t>(</w:t>
              </w:r>
              <w:r w:rsidRPr="00AD29FC">
                <w:rPr>
                  <w:rStyle w:val="Hyperkobling"/>
                  <w:sz w:val="20"/>
                  <w:szCs w:val="20"/>
                  <w:vertAlign w:val="superscript"/>
                  <w:lang w:val="en-US"/>
                </w:rPr>
                <w:t>2</w:t>
              </w:r>
              <w:r w:rsidRPr="00AD29FC">
                <w:rPr>
                  <w:rStyle w:val="Hyperkobling"/>
                  <w:sz w:val="20"/>
                  <w:szCs w:val="20"/>
                  <w:lang w:val="en-US"/>
                </w:rPr>
                <w:t>)</w:t>
              </w:r>
            </w:hyperlink>
            <w:r w:rsidRPr="00AD29FC">
              <w:rPr>
                <w:sz w:val="20"/>
                <w:szCs w:val="20"/>
                <w:lang w:val="en-US"/>
              </w:rPr>
              <w:t>.</w:t>
            </w:r>
          </w:p>
          <w:p w14:paraId="52FF0DF3" w14:textId="77777777" w:rsidR="00F30460" w:rsidRPr="00AD29FC" w:rsidRDefault="00F30460" w:rsidP="00F30460">
            <w:pPr>
              <w:spacing w:after="160" w:line="259" w:lineRule="auto"/>
              <w:rPr>
                <w:sz w:val="20"/>
                <w:szCs w:val="20"/>
                <w:lang w:val="en-US"/>
              </w:rPr>
            </w:pPr>
            <w:r w:rsidRPr="00AD29FC">
              <w:rPr>
                <w:sz w:val="20"/>
                <w:szCs w:val="20"/>
                <w:lang w:val="en-US"/>
              </w:rPr>
              <w:t xml:space="preserve">Where Directive 2006/43/EC and Regulation (EU) No 537/2014 do not apply, the annual financial statements must be audited or reported on as to </w:t>
            </w:r>
            <w:proofErr w:type="gramStart"/>
            <w:r w:rsidRPr="00AD29FC">
              <w:rPr>
                <w:sz w:val="20"/>
                <w:szCs w:val="20"/>
                <w:lang w:val="en-US"/>
              </w:rPr>
              <w:t>whether or not</w:t>
            </w:r>
            <w:proofErr w:type="gramEnd"/>
            <w:r w:rsidRPr="00AD29FC">
              <w:rPr>
                <w:sz w:val="20"/>
                <w:szCs w:val="20"/>
                <w:lang w:val="en-US"/>
              </w:rPr>
              <w:t>, for the purposes of the EU Recovery prospectus, they give a true and fair view in accordance with auditing standards applicable in a Member State or an equivalent standard. Otherwise, the following information must be included in the EU Recovery prospectus:</w:t>
            </w:r>
          </w:p>
          <w:tbl>
            <w:tblPr>
              <w:tblW w:w="5000" w:type="pct"/>
              <w:tblCellMar>
                <w:left w:w="0" w:type="dxa"/>
                <w:right w:w="0" w:type="dxa"/>
              </w:tblCellMar>
              <w:tblLook w:val="04A0" w:firstRow="1" w:lastRow="0" w:firstColumn="1" w:lastColumn="0" w:noHBand="0" w:noVBand="1"/>
            </w:tblPr>
            <w:tblGrid>
              <w:gridCol w:w="218"/>
              <w:gridCol w:w="5240"/>
            </w:tblGrid>
            <w:tr w:rsidR="00F30460" w:rsidRPr="00991899" w14:paraId="36F0BB19" w14:textId="77777777" w:rsidTr="008274CD">
              <w:tc>
                <w:tcPr>
                  <w:tcW w:w="0" w:type="auto"/>
                  <w:shd w:val="clear" w:color="auto" w:fill="auto"/>
                  <w:hideMark/>
                </w:tcPr>
                <w:p w14:paraId="1DC6F3C1" w14:textId="77777777" w:rsidR="00F30460" w:rsidRPr="00AD29FC" w:rsidRDefault="00F30460" w:rsidP="00F30460">
                  <w:pPr>
                    <w:rPr>
                      <w:sz w:val="20"/>
                      <w:szCs w:val="20"/>
                    </w:rPr>
                  </w:pPr>
                  <w:r w:rsidRPr="00AD29FC">
                    <w:rPr>
                      <w:sz w:val="20"/>
                      <w:szCs w:val="20"/>
                    </w:rPr>
                    <w:t>(a)</w:t>
                  </w:r>
                </w:p>
              </w:tc>
              <w:tc>
                <w:tcPr>
                  <w:tcW w:w="0" w:type="auto"/>
                  <w:shd w:val="clear" w:color="auto" w:fill="auto"/>
                  <w:hideMark/>
                </w:tcPr>
                <w:p w14:paraId="7481E9BC" w14:textId="77777777" w:rsidR="00F30460" w:rsidRPr="00AD29FC" w:rsidRDefault="00F30460" w:rsidP="00F30460">
                  <w:pPr>
                    <w:rPr>
                      <w:sz w:val="20"/>
                      <w:szCs w:val="20"/>
                      <w:lang w:val="en-US"/>
                    </w:rPr>
                  </w:pPr>
                  <w:r w:rsidRPr="00AD29FC">
                    <w:rPr>
                      <w:sz w:val="20"/>
                      <w:szCs w:val="20"/>
                      <w:lang w:val="en-US"/>
                    </w:rPr>
                    <w:t>a prominent statement disclosing which auditing standards have been applied;</w:t>
                  </w:r>
                </w:p>
              </w:tc>
            </w:tr>
          </w:tbl>
          <w:p w14:paraId="4C4673D7" w14:textId="77777777" w:rsidR="00F30460" w:rsidRPr="00AD29FC" w:rsidRDefault="00F30460" w:rsidP="00F30460">
            <w:pPr>
              <w:spacing w:after="160" w:line="259" w:lineRule="auto"/>
              <w:rPr>
                <w:vanish/>
                <w:sz w:val="20"/>
                <w:szCs w:val="20"/>
              </w:rPr>
            </w:pPr>
          </w:p>
          <w:tbl>
            <w:tblPr>
              <w:tblW w:w="5000" w:type="pct"/>
              <w:tblCellMar>
                <w:left w:w="0" w:type="dxa"/>
                <w:right w:w="0" w:type="dxa"/>
              </w:tblCellMar>
              <w:tblLook w:val="04A0" w:firstRow="1" w:lastRow="0" w:firstColumn="1" w:lastColumn="0" w:noHBand="0" w:noVBand="1"/>
            </w:tblPr>
            <w:tblGrid>
              <w:gridCol w:w="227"/>
              <w:gridCol w:w="5231"/>
            </w:tblGrid>
            <w:tr w:rsidR="00F30460" w:rsidRPr="00991899" w14:paraId="115E4CDF" w14:textId="77777777" w:rsidTr="008274CD">
              <w:tc>
                <w:tcPr>
                  <w:tcW w:w="0" w:type="auto"/>
                  <w:shd w:val="clear" w:color="auto" w:fill="auto"/>
                  <w:hideMark/>
                </w:tcPr>
                <w:p w14:paraId="45D6DD11" w14:textId="77777777" w:rsidR="00F30460" w:rsidRPr="00AD29FC" w:rsidRDefault="00F30460" w:rsidP="00F30460">
                  <w:pPr>
                    <w:rPr>
                      <w:sz w:val="20"/>
                      <w:szCs w:val="20"/>
                    </w:rPr>
                  </w:pPr>
                  <w:r w:rsidRPr="00AD29FC">
                    <w:rPr>
                      <w:sz w:val="20"/>
                      <w:szCs w:val="20"/>
                    </w:rPr>
                    <w:t>(b)</w:t>
                  </w:r>
                </w:p>
              </w:tc>
              <w:tc>
                <w:tcPr>
                  <w:tcW w:w="0" w:type="auto"/>
                  <w:shd w:val="clear" w:color="auto" w:fill="auto"/>
                  <w:hideMark/>
                </w:tcPr>
                <w:p w14:paraId="5EEBA679" w14:textId="77777777" w:rsidR="00F30460" w:rsidRPr="00AD29FC" w:rsidRDefault="00F30460" w:rsidP="00F30460">
                  <w:pPr>
                    <w:rPr>
                      <w:sz w:val="20"/>
                      <w:szCs w:val="20"/>
                      <w:lang w:val="en-US"/>
                    </w:rPr>
                  </w:pPr>
                  <w:r w:rsidRPr="00AD29FC">
                    <w:rPr>
                      <w:sz w:val="20"/>
                      <w:szCs w:val="20"/>
                      <w:lang w:val="en-US"/>
                    </w:rPr>
                    <w:t>an explanation of any significant departures from International Standards on Auditing.</w:t>
                  </w:r>
                </w:p>
              </w:tc>
            </w:tr>
          </w:tbl>
          <w:p w14:paraId="69B7C37A" w14:textId="77777777" w:rsidR="00F30460" w:rsidRPr="00AD29FC" w:rsidRDefault="00F30460" w:rsidP="00F30460">
            <w:pPr>
              <w:spacing w:after="160" w:line="259" w:lineRule="auto"/>
              <w:rPr>
                <w:sz w:val="20"/>
                <w:szCs w:val="20"/>
                <w:lang w:val="en-US"/>
              </w:rPr>
            </w:pPr>
            <w:r w:rsidRPr="00AD29FC">
              <w:rPr>
                <w:sz w:val="20"/>
                <w:szCs w:val="20"/>
                <w:lang w:val="en-US"/>
              </w:rPr>
              <w:t xml:space="preserve">Where audit reports on the annual financial statements have been refused by the statutory auditors or where they contain qualifications, modifications of opinion, disclaimers or an emphasis of matter, the reason must be given, and such qualifications, modifications, </w:t>
            </w:r>
            <w:proofErr w:type="gramStart"/>
            <w:r w:rsidRPr="00AD29FC">
              <w:rPr>
                <w:sz w:val="20"/>
                <w:szCs w:val="20"/>
                <w:lang w:val="en-US"/>
              </w:rPr>
              <w:t>disclaimers</w:t>
            </w:r>
            <w:proofErr w:type="gramEnd"/>
            <w:r w:rsidRPr="00AD29FC">
              <w:rPr>
                <w:sz w:val="20"/>
                <w:szCs w:val="20"/>
                <w:lang w:val="en-US"/>
              </w:rPr>
              <w:t xml:space="preserve"> or emphasis of matter must be reproduced in full.</w:t>
            </w:r>
          </w:p>
          <w:p w14:paraId="49D30F90" w14:textId="77777777" w:rsidR="00F30460" w:rsidRPr="00AD29FC" w:rsidRDefault="00F30460" w:rsidP="00F30460">
            <w:pPr>
              <w:spacing w:after="160" w:line="259" w:lineRule="auto"/>
              <w:rPr>
                <w:sz w:val="20"/>
                <w:szCs w:val="20"/>
                <w:lang w:val="en-US"/>
              </w:rPr>
            </w:pPr>
            <w:r w:rsidRPr="00AD29FC">
              <w:rPr>
                <w:sz w:val="20"/>
                <w:szCs w:val="20"/>
                <w:lang w:val="en-US"/>
              </w:rPr>
              <w:t xml:space="preserve">A description of any significant change in the financial position of the group which has occurred since the end of the last financial </w:t>
            </w:r>
            <w:r w:rsidRPr="00AD29FC">
              <w:rPr>
                <w:sz w:val="20"/>
                <w:szCs w:val="20"/>
                <w:lang w:val="en-US"/>
              </w:rPr>
              <w:lastRenderedPageBreak/>
              <w:t>period for which either audited financial statements or interim financial information have been published, must also be included, or an appropriate negative statement must be included.</w:t>
            </w:r>
          </w:p>
          <w:p w14:paraId="4108E4E6" w14:textId="77777777" w:rsidR="00F30460" w:rsidRPr="00AD29FC" w:rsidRDefault="00F30460" w:rsidP="00F30460">
            <w:pPr>
              <w:spacing w:after="160" w:line="259" w:lineRule="auto"/>
              <w:rPr>
                <w:sz w:val="20"/>
                <w:szCs w:val="20"/>
                <w:lang w:val="en-US"/>
              </w:rPr>
            </w:pPr>
            <w:r w:rsidRPr="00AD29FC">
              <w:rPr>
                <w:sz w:val="20"/>
                <w:szCs w:val="20"/>
                <w:lang w:val="en-US"/>
              </w:rPr>
              <w:t>Where applicable, pro forma information must also be included.</w:t>
            </w:r>
          </w:p>
          <w:p w14:paraId="060BDEB3" w14:textId="77777777" w:rsidR="00F30460" w:rsidRPr="00BF3F76" w:rsidRDefault="00F30460">
            <w:pPr>
              <w:rPr>
                <w:b/>
                <w:bCs/>
                <w:sz w:val="20"/>
                <w:szCs w:val="20"/>
                <w:lang w:val="en-US"/>
              </w:rPr>
            </w:pPr>
          </w:p>
        </w:tc>
        <w:tc>
          <w:tcPr>
            <w:tcW w:w="1128" w:type="dxa"/>
          </w:tcPr>
          <w:p w14:paraId="106B3366" w14:textId="77777777" w:rsidR="00F30460" w:rsidRPr="00BF3F76" w:rsidRDefault="00F30460">
            <w:pPr>
              <w:rPr>
                <w:sz w:val="20"/>
                <w:szCs w:val="20"/>
                <w:lang w:val="en-US"/>
              </w:rPr>
            </w:pPr>
          </w:p>
        </w:tc>
        <w:tc>
          <w:tcPr>
            <w:tcW w:w="3260" w:type="dxa"/>
          </w:tcPr>
          <w:p w14:paraId="7B9F96A2" w14:textId="77777777" w:rsidR="00F30460" w:rsidRPr="00BF3F76" w:rsidRDefault="00F30460">
            <w:pPr>
              <w:rPr>
                <w:sz w:val="20"/>
                <w:szCs w:val="20"/>
                <w:lang w:val="en-US"/>
              </w:rPr>
            </w:pPr>
          </w:p>
        </w:tc>
      </w:tr>
      <w:tr w:rsidR="00F30460" w:rsidRPr="00BF3F76" w14:paraId="796B3D60" w14:textId="77777777" w:rsidTr="00661BCE">
        <w:tc>
          <w:tcPr>
            <w:tcW w:w="709" w:type="dxa"/>
            <w:shd w:val="clear" w:color="auto" w:fill="D9D9D9" w:themeFill="background1" w:themeFillShade="D9"/>
          </w:tcPr>
          <w:p w14:paraId="2EA19E94" w14:textId="62E4E2ED" w:rsidR="00F30460" w:rsidRPr="00BF3F76" w:rsidRDefault="00F30460" w:rsidP="00AD29FC">
            <w:pPr>
              <w:rPr>
                <w:b/>
                <w:bCs/>
                <w:sz w:val="20"/>
                <w:szCs w:val="20"/>
              </w:rPr>
            </w:pPr>
            <w:r w:rsidRPr="00AD29FC">
              <w:rPr>
                <w:b/>
                <w:bCs/>
                <w:sz w:val="20"/>
                <w:szCs w:val="20"/>
                <w:lang w:val="en-US"/>
              </w:rPr>
              <w:t>VI.   </w:t>
            </w:r>
          </w:p>
        </w:tc>
        <w:tc>
          <w:tcPr>
            <w:tcW w:w="5677" w:type="dxa"/>
            <w:shd w:val="clear" w:color="auto" w:fill="D9D9D9" w:themeFill="background1" w:themeFillShade="D9"/>
          </w:tcPr>
          <w:p w14:paraId="094D6FB5" w14:textId="4C31C5C5" w:rsidR="00F30460" w:rsidRPr="00BF3F76" w:rsidRDefault="00F30460" w:rsidP="006375B7">
            <w:pPr>
              <w:spacing w:after="160" w:line="259" w:lineRule="auto"/>
              <w:rPr>
                <w:b/>
                <w:bCs/>
                <w:sz w:val="20"/>
                <w:szCs w:val="20"/>
                <w:lang w:val="en-US"/>
              </w:rPr>
            </w:pPr>
            <w:r w:rsidRPr="00AD29FC">
              <w:rPr>
                <w:b/>
                <w:bCs/>
                <w:sz w:val="20"/>
                <w:szCs w:val="20"/>
                <w:lang w:val="en-US"/>
              </w:rPr>
              <w:t>Dividend policy</w:t>
            </w:r>
          </w:p>
        </w:tc>
        <w:tc>
          <w:tcPr>
            <w:tcW w:w="1128" w:type="dxa"/>
            <w:shd w:val="clear" w:color="auto" w:fill="D9D9D9" w:themeFill="background1" w:themeFillShade="D9"/>
          </w:tcPr>
          <w:p w14:paraId="7AC3215B" w14:textId="77777777" w:rsidR="00F30460" w:rsidRPr="00BF3F76" w:rsidRDefault="00F30460">
            <w:pPr>
              <w:rPr>
                <w:sz w:val="20"/>
                <w:szCs w:val="20"/>
                <w:lang w:val="en-US"/>
              </w:rPr>
            </w:pPr>
          </w:p>
        </w:tc>
        <w:tc>
          <w:tcPr>
            <w:tcW w:w="3260" w:type="dxa"/>
            <w:shd w:val="clear" w:color="auto" w:fill="D9D9D9" w:themeFill="background1" w:themeFillShade="D9"/>
          </w:tcPr>
          <w:p w14:paraId="2AE39F83" w14:textId="77777777" w:rsidR="00F30460" w:rsidRPr="00BF3F76" w:rsidRDefault="00F30460">
            <w:pPr>
              <w:rPr>
                <w:sz w:val="20"/>
                <w:szCs w:val="20"/>
                <w:lang w:val="en-US"/>
              </w:rPr>
            </w:pPr>
          </w:p>
        </w:tc>
      </w:tr>
      <w:tr w:rsidR="00F30460" w:rsidRPr="00716E49" w14:paraId="2980BB62" w14:textId="77777777" w:rsidTr="00BF3F76">
        <w:tc>
          <w:tcPr>
            <w:tcW w:w="709" w:type="dxa"/>
          </w:tcPr>
          <w:p w14:paraId="3FA2D07B" w14:textId="77777777" w:rsidR="00F30460" w:rsidRPr="00BF3F76" w:rsidRDefault="00F30460" w:rsidP="00AD29FC">
            <w:pPr>
              <w:rPr>
                <w:b/>
                <w:bCs/>
                <w:sz w:val="20"/>
                <w:szCs w:val="20"/>
              </w:rPr>
            </w:pPr>
          </w:p>
        </w:tc>
        <w:tc>
          <w:tcPr>
            <w:tcW w:w="5677" w:type="dxa"/>
          </w:tcPr>
          <w:p w14:paraId="6424E050" w14:textId="2C7CE7DD" w:rsidR="00F30460" w:rsidRPr="00BF3F76" w:rsidRDefault="00F30460" w:rsidP="006375B7">
            <w:pPr>
              <w:spacing w:after="160" w:line="259" w:lineRule="auto"/>
              <w:rPr>
                <w:sz w:val="20"/>
                <w:szCs w:val="20"/>
                <w:lang w:val="en-US"/>
              </w:rPr>
            </w:pPr>
            <w:r w:rsidRPr="00AD29FC">
              <w:rPr>
                <w:sz w:val="20"/>
                <w:szCs w:val="20"/>
                <w:lang w:val="en-US"/>
              </w:rPr>
              <w:t>A description of the issuer’s policy on dividend distributions and any current restrictions thereon, as well as on share repurchases.</w:t>
            </w:r>
          </w:p>
        </w:tc>
        <w:tc>
          <w:tcPr>
            <w:tcW w:w="1128" w:type="dxa"/>
          </w:tcPr>
          <w:p w14:paraId="75BE50E6" w14:textId="77777777" w:rsidR="00F30460" w:rsidRPr="00BF3F76" w:rsidRDefault="00F30460">
            <w:pPr>
              <w:rPr>
                <w:sz w:val="20"/>
                <w:szCs w:val="20"/>
                <w:lang w:val="en-US"/>
              </w:rPr>
            </w:pPr>
          </w:p>
        </w:tc>
        <w:tc>
          <w:tcPr>
            <w:tcW w:w="3260" w:type="dxa"/>
          </w:tcPr>
          <w:p w14:paraId="213280B7" w14:textId="7F88F371" w:rsidR="00F30460" w:rsidRPr="00BF3F76" w:rsidRDefault="00F30460">
            <w:pPr>
              <w:rPr>
                <w:sz w:val="20"/>
                <w:szCs w:val="20"/>
                <w:lang w:val="en-US"/>
              </w:rPr>
            </w:pPr>
          </w:p>
        </w:tc>
      </w:tr>
      <w:tr w:rsidR="00F30460" w:rsidRPr="00BF3F76" w14:paraId="7FF61B47" w14:textId="77777777" w:rsidTr="00661BCE">
        <w:tc>
          <w:tcPr>
            <w:tcW w:w="709" w:type="dxa"/>
            <w:shd w:val="clear" w:color="auto" w:fill="D9D9D9" w:themeFill="background1" w:themeFillShade="D9"/>
          </w:tcPr>
          <w:p w14:paraId="151E8170" w14:textId="2EA22772" w:rsidR="00F30460" w:rsidRPr="00BF3F76" w:rsidRDefault="00F30460" w:rsidP="00AD29FC">
            <w:pPr>
              <w:rPr>
                <w:b/>
                <w:bCs/>
                <w:sz w:val="20"/>
                <w:szCs w:val="20"/>
              </w:rPr>
            </w:pPr>
            <w:r w:rsidRPr="00AD29FC">
              <w:rPr>
                <w:b/>
                <w:bCs/>
                <w:sz w:val="20"/>
                <w:szCs w:val="20"/>
                <w:lang w:val="en-US"/>
              </w:rPr>
              <w:t>VII.   </w:t>
            </w:r>
          </w:p>
        </w:tc>
        <w:tc>
          <w:tcPr>
            <w:tcW w:w="5677" w:type="dxa"/>
            <w:shd w:val="clear" w:color="auto" w:fill="D9D9D9" w:themeFill="background1" w:themeFillShade="D9"/>
          </w:tcPr>
          <w:p w14:paraId="4E5865AD" w14:textId="4ED7E632" w:rsidR="00F30460" w:rsidRPr="00BF3F76" w:rsidRDefault="00F30460" w:rsidP="006375B7">
            <w:pPr>
              <w:spacing w:after="160" w:line="259" w:lineRule="auto"/>
              <w:rPr>
                <w:b/>
                <w:bCs/>
                <w:sz w:val="20"/>
                <w:szCs w:val="20"/>
                <w:lang w:val="en-US"/>
              </w:rPr>
            </w:pPr>
            <w:r w:rsidRPr="00AD29FC">
              <w:rPr>
                <w:b/>
                <w:bCs/>
                <w:sz w:val="20"/>
                <w:szCs w:val="20"/>
                <w:lang w:val="en-US"/>
              </w:rPr>
              <w:t>Trend information</w:t>
            </w:r>
          </w:p>
        </w:tc>
        <w:tc>
          <w:tcPr>
            <w:tcW w:w="1128" w:type="dxa"/>
            <w:shd w:val="clear" w:color="auto" w:fill="D9D9D9" w:themeFill="background1" w:themeFillShade="D9"/>
          </w:tcPr>
          <w:p w14:paraId="30417C55" w14:textId="77777777" w:rsidR="00F30460" w:rsidRPr="00BF3F76" w:rsidRDefault="00F30460">
            <w:pPr>
              <w:rPr>
                <w:sz w:val="20"/>
                <w:szCs w:val="20"/>
                <w:lang w:val="en-US"/>
              </w:rPr>
            </w:pPr>
          </w:p>
        </w:tc>
        <w:tc>
          <w:tcPr>
            <w:tcW w:w="3260" w:type="dxa"/>
            <w:shd w:val="clear" w:color="auto" w:fill="D9D9D9" w:themeFill="background1" w:themeFillShade="D9"/>
          </w:tcPr>
          <w:p w14:paraId="5B4BA497" w14:textId="77777777" w:rsidR="00F30460" w:rsidRPr="00BF3F76" w:rsidRDefault="00F30460">
            <w:pPr>
              <w:rPr>
                <w:sz w:val="20"/>
                <w:szCs w:val="20"/>
                <w:lang w:val="en-US"/>
              </w:rPr>
            </w:pPr>
          </w:p>
        </w:tc>
      </w:tr>
      <w:tr w:rsidR="00F30460" w:rsidRPr="00A6740E" w14:paraId="3FF2B9B5" w14:textId="77777777" w:rsidTr="00BF3F76">
        <w:tc>
          <w:tcPr>
            <w:tcW w:w="709" w:type="dxa"/>
          </w:tcPr>
          <w:p w14:paraId="27EE13BD" w14:textId="77777777" w:rsidR="00F30460" w:rsidRPr="00BF3F76" w:rsidRDefault="00F30460" w:rsidP="00AD29FC">
            <w:pPr>
              <w:rPr>
                <w:b/>
                <w:bCs/>
                <w:sz w:val="20"/>
                <w:szCs w:val="20"/>
              </w:rPr>
            </w:pPr>
          </w:p>
        </w:tc>
        <w:tc>
          <w:tcPr>
            <w:tcW w:w="5677" w:type="dxa"/>
          </w:tcPr>
          <w:p w14:paraId="3BAD54BB" w14:textId="77777777" w:rsidR="00F30460" w:rsidRPr="00AD29FC" w:rsidRDefault="00F30460" w:rsidP="00F30460">
            <w:pPr>
              <w:spacing w:after="160" w:line="259" w:lineRule="auto"/>
              <w:rPr>
                <w:sz w:val="20"/>
                <w:szCs w:val="20"/>
                <w:lang w:val="en-US"/>
              </w:rPr>
            </w:pPr>
            <w:r w:rsidRPr="00AD29FC">
              <w:rPr>
                <w:sz w:val="20"/>
                <w:szCs w:val="20"/>
                <w:lang w:val="en-US"/>
              </w:rPr>
              <w:t>A description of:</w:t>
            </w:r>
          </w:p>
          <w:tbl>
            <w:tblPr>
              <w:tblW w:w="5000" w:type="pct"/>
              <w:tblCellMar>
                <w:left w:w="0" w:type="dxa"/>
                <w:right w:w="0" w:type="dxa"/>
              </w:tblCellMar>
              <w:tblLook w:val="04A0" w:firstRow="1" w:lastRow="0" w:firstColumn="1" w:lastColumn="0" w:noHBand="0" w:noVBand="1"/>
            </w:tblPr>
            <w:tblGrid>
              <w:gridCol w:w="218"/>
              <w:gridCol w:w="5240"/>
            </w:tblGrid>
            <w:tr w:rsidR="00F30460" w:rsidRPr="00991899" w14:paraId="203E22CA" w14:textId="77777777" w:rsidTr="008274CD">
              <w:tc>
                <w:tcPr>
                  <w:tcW w:w="0" w:type="auto"/>
                  <w:shd w:val="clear" w:color="auto" w:fill="auto"/>
                  <w:hideMark/>
                </w:tcPr>
                <w:p w14:paraId="03986427" w14:textId="77777777" w:rsidR="00F30460" w:rsidRPr="00AD29FC" w:rsidRDefault="00F30460" w:rsidP="00F30460">
                  <w:pPr>
                    <w:rPr>
                      <w:sz w:val="20"/>
                      <w:szCs w:val="20"/>
                    </w:rPr>
                  </w:pPr>
                  <w:r w:rsidRPr="00AD29FC">
                    <w:rPr>
                      <w:sz w:val="20"/>
                      <w:szCs w:val="20"/>
                    </w:rPr>
                    <w:t>(a)</w:t>
                  </w:r>
                </w:p>
              </w:tc>
              <w:tc>
                <w:tcPr>
                  <w:tcW w:w="0" w:type="auto"/>
                  <w:shd w:val="clear" w:color="auto" w:fill="auto"/>
                  <w:hideMark/>
                </w:tcPr>
                <w:p w14:paraId="0846D3F5" w14:textId="77777777" w:rsidR="00F30460" w:rsidRPr="00AD29FC" w:rsidRDefault="00F30460" w:rsidP="00F30460">
                  <w:pPr>
                    <w:rPr>
                      <w:sz w:val="20"/>
                      <w:szCs w:val="20"/>
                      <w:lang w:val="en-US"/>
                    </w:rPr>
                  </w:pPr>
                  <w:r w:rsidRPr="00AD29FC">
                    <w:rPr>
                      <w:sz w:val="20"/>
                      <w:szCs w:val="20"/>
                      <w:lang w:val="en-US"/>
                    </w:rPr>
                    <w:t>the most significant recent trends in production, sales and inventory, and costs and selling prices since the end of the last financial year to the date of the EU Recovery prospectus;</w:t>
                  </w:r>
                </w:p>
              </w:tc>
            </w:tr>
          </w:tbl>
          <w:p w14:paraId="0AC96F7C" w14:textId="77777777" w:rsidR="00F30460" w:rsidRPr="00AD29FC" w:rsidRDefault="00F30460" w:rsidP="00F30460">
            <w:pPr>
              <w:spacing w:after="160" w:line="259" w:lineRule="auto"/>
              <w:rPr>
                <w:vanish/>
                <w:sz w:val="20"/>
                <w:szCs w:val="20"/>
              </w:rPr>
            </w:pPr>
          </w:p>
          <w:tbl>
            <w:tblPr>
              <w:tblW w:w="5000" w:type="pct"/>
              <w:tblCellMar>
                <w:left w:w="0" w:type="dxa"/>
                <w:right w:w="0" w:type="dxa"/>
              </w:tblCellMar>
              <w:tblLook w:val="04A0" w:firstRow="1" w:lastRow="0" w:firstColumn="1" w:lastColumn="0" w:noHBand="0" w:noVBand="1"/>
            </w:tblPr>
            <w:tblGrid>
              <w:gridCol w:w="227"/>
              <w:gridCol w:w="5231"/>
            </w:tblGrid>
            <w:tr w:rsidR="00F30460" w:rsidRPr="00991899" w14:paraId="5C0B676D" w14:textId="77777777" w:rsidTr="008274CD">
              <w:tc>
                <w:tcPr>
                  <w:tcW w:w="0" w:type="auto"/>
                  <w:shd w:val="clear" w:color="auto" w:fill="auto"/>
                  <w:hideMark/>
                </w:tcPr>
                <w:p w14:paraId="6CC6A230" w14:textId="77777777" w:rsidR="00F30460" w:rsidRPr="00AD29FC" w:rsidRDefault="00F30460" w:rsidP="00F30460">
                  <w:pPr>
                    <w:rPr>
                      <w:sz w:val="20"/>
                      <w:szCs w:val="20"/>
                    </w:rPr>
                  </w:pPr>
                  <w:r w:rsidRPr="00AD29FC">
                    <w:rPr>
                      <w:sz w:val="20"/>
                      <w:szCs w:val="20"/>
                    </w:rPr>
                    <w:t>(b)</w:t>
                  </w:r>
                </w:p>
              </w:tc>
              <w:tc>
                <w:tcPr>
                  <w:tcW w:w="0" w:type="auto"/>
                  <w:shd w:val="clear" w:color="auto" w:fill="auto"/>
                  <w:hideMark/>
                </w:tcPr>
                <w:p w14:paraId="1B4909D8" w14:textId="77777777" w:rsidR="00F30460" w:rsidRPr="00AD29FC" w:rsidRDefault="00F30460" w:rsidP="00F30460">
                  <w:pPr>
                    <w:rPr>
                      <w:sz w:val="20"/>
                      <w:szCs w:val="20"/>
                      <w:lang w:val="en-US"/>
                    </w:rPr>
                  </w:pPr>
                  <w:r w:rsidRPr="00AD29FC">
                    <w:rPr>
                      <w:sz w:val="20"/>
                      <w:szCs w:val="20"/>
                      <w:lang w:val="en-US"/>
                    </w:rPr>
                    <w:t xml:space="preserve">information on any known trends, uncertainties, demands, </w:t>
                  </w:r>
                  <w:proofErr w:type="gramStart"/>
                  <w:r w:rsidRPr="00AD29FC">
                    <w:rPr>
                      <w:sz w:val="20"/>
                      <w:szCs w:val="20"/>
                      <w:lang w:val="en-US"/>
                    </w:rPr>
                    <w:t>commitments</w:t>
                  </w:r>
                  <w:proofErr w:type="gramEnd"/>
                  <w:r w:rsidRPr="00AD29FC">
                    <w:rPr>
                      <w:sz w:val="20"/>
                      <w:szCs w:val="20"/>
                      <w:lang w:val="en-US"/>
                    </w:rPr>
                    <w:t xml:space="preserve"> or events that are reasonably likely to have a material effect on the issuer’s prospects for at least the current financial year;</w:t>
                  </w:r>
                </w:p>
              </w:tc>
            </w:tr>
          </w:tbl>
          <w:p w14:paraId="3C8BB722" w14:textId="77777777" w:rsidR="00F30460" w:rsidRPr="00AD29FC" w:rsidRDefault="00F30460" w:rsidP="00F30460">
            <w:pPr>
              <w:spacing w:after="160" w:line="259" w:lineRule="auto"/>
              <w:rPr>
                <w:vanish/>
                <w:sz w:val="20"/>
                <w:szCs w:val="20"/>
              </w:rPr>
            </w:pPr>
          </w:p>
          <w:tbl>
            <w:tblPr>
              <w:tblW w:w="5000" w:type="pct"/>
              <w:tblCellMar>
                <w:left w:w="0" w:type="dxa"/>
                <w:right w:w="0" w:type="dxa"/>
              </w:tblCellMar>
              <w:tblLook w:val="04A0" w:firstRow="1" w:lastRow="0" w:firstColumn="1" w:lastColumn="0" w:noHBand="0" w:noVBand="1"/>
            </w:tblPr>
            <w:tblGrid>
              <w:gridCol w:w="206"/>
              <w:gridCol w:w="5252"/>
            </w:tblGrid>
            <w:tr w:rsidR="00F30460" w:rsidRPr="00991899" w14:paraId="0F0ABD73" w14:textId="77777777" w:rsidTr="008274CD">
              <w:tc>
                <w:tcPr>
                  <w:tcW w:w="0" w:type="auto"/>
                  <w:shd w:val="clear" w:color="auto" w:fill="auto"/>
                  <w:hideMark/>
                </w:tcPr>
                <w:p w14:paraId="56FD7AD4" w14:textId="77777777" w:rsidR="00F30460" w:rsidRPr="00AD29FC" w:rsidRDefault="00F30460" w:rsidP="00F30460">
                  <w:pPr>
                    <w:rPr>
                      <w:sz w:val="20"/>
                      <w:szCs w:val="20"/>
                    </w:rPr>
                  </w:pPr>
                  <w:r w:rsidRPr="00AD29FC">
                    <w:rPr>
                      <w:sz w:val="20"/>
                      <w:szCs w:val="20"/>
                    </w:rPr>
                    <w:t>(c)</w:t>
                  </w:r>
                </w:p>
              </w:tc>
              <w:tc>
                <w:tcPr>
                  <w:tcW w:w="0" w:type="auto"/>
                  <w:shd w:val="clear" w:color="auto" w:fill="auto"/>
                  <w:hideMark/>
                </w:tcPr>
                <w:p w14:paraId="555DEAEF" w14:textId="77777777" w:rsidR="00F30460" w:rsidRPr="00AD29FC" w:rsidRDefault="00F30460" w:rsidP="00F30460">
                  <w:pPr>
                    <w:rPr>
                      <w:sz w:val="20"/>
                      <w:szCs w:val="20"/>
                      <w:lang w:val="en-US"/>
                    </w:rPr>
                  </w:pPr>
                  <w:r w:rsidRPr="00AD29FC">
                    <w:rPr>
                      <w:sz w:val="20"/>
                      <w:szCs w:val="20"/>
                      <w:lang w:val="en-US"/>
                    </w:rPr>
                    <w:t>information on the issuer’s short and long-term financial and non-financial business strategy and objectives, including, if applicable, a specific reference of not less than 400 words to the business and financial impact of the COVID-19 pandemic on the issuer and the anticipated future impact of the same.</w:t>
                  </w:r>
                </w:p>
              </w:tc>
            </w:tr>
          </w:tbl>
          <w:p w14:paraId="73780C61" w14:textId="4BA6EEFE" w:rsidR="00F30460" w:rsidRPr="00BF3F76" w:rsidRDefault="00F30460" w:rsidP="006375B7">
            <w:pPr>
              <w:spacing w:after="160" w:line="259" w:lineRule="auto"/>
              <w:rPr>
                <w:sz w:val="20"/>
                <w:szCs w:val="20"/>
                <w:lang w:val="en-US"/>
              </w:rPr>
            </w:pPr>
            <w:r w:rsidRPr="00AD29FC">
              <w:rPr>
                <w:sz w:val="20"/>
                <w:szCs w:val="20"/>
                <w:lang w:val="en-US"/>
              </w:rPr>
              <w:t>If there is no significant change in either of the trends referred to in points (a) or (b) of this section, a statement to that effect is to be made.</w:t>
            </w:r>
          </w:p>
        </w:tc>
        <w:tc>
          <w:tcPr>
            <w:tcW w:w="1128" w:type="dxa"/>
          </w:tcPr>
          <w:p w14:paraId="5F7FD375" w14:textId="77777777" w:rsidR="00F30460" w:rsidRPr="00BF3F76" w:rsidRDefault="00F30460">
            <w:pPr>
              <w:rPr>
                <w:sz w:val="20"/>
                <w:szCs w:val="20"/>
                <w:lang w:val="en-US"/>
              </w:rPr>
            </w:pPr>
          </w:p>
        </w:tc>
        <w:tc>
          <w:tcPr>
            <w:tcW w:w="3260" w:type="dxa"/>
          </w:tcPr>
          <w:p w14:paraId="45E010D6" w14:textId="43F0331B" w:rsidR="00F30460" w:rsidRPr="00A6740E" w:rsidRDefault="00F30460">
            <w:pPr>
              <w:rPr>
                <w:sz w:val="20"/>
                <w:szCs w:val="20"/>
              </w:rPr>
            </w:pPr>
          </w:p>
        </w:tc>
      </w:tr>
      <w:tr w:rsidR="00F30460" w:rsidRPr="00991899" w14:paraId="62BC8FE1" w14:textId="77777777" w:rsidTr="00661BCE">
        <w:tc>
          <w:tcPr>
            <w:tcW w:w="709" w:type="dxa"/>
            <w:shd w:val="clear" w:color="auto" w:fill="D9D9D9" w:themeFill="background1" w:themeFillShade="D9"/>
          </w:tcPr>
          <w:p w14:paraId="6618D85B" w14:textId="77777777" w:rsidR="00F30460" w:rsidRPr="00AD29FC" w:rsidRDefault="00F30460" w:rsidP="00F30460">
            <w:pPr>
              <w:spacing w:after="160" w:line="259" w:lineRule="auto"/>
              <w:rPr>
                <w:b/>
                <w:bCs/>
                <w:sz w:val="20"/>
                <w:szCs w:val="20"/>
                <w:lang w:val="en-US"/>
              </w:rPr>
            </w:pPr>
            <w:r w:rsidRPr="00AD29FC">
              <w:rPr>
                <w:b/>
                <w:bCs/>
                <w:sz w:val="20"/>
                <w:szCs w:val="20"/>
                <w:lang w:val="en-US"/>
              </w:rPr>
              <w:t>VIII.   </w:t>
            </w:r>
          </w:p>
          <w:p w14:paraId="5D804991" w14:textId="77777777" w:rsidR="00F30460" w:rsidRPr="00BF3F76" w:rsidRDefault="00F30460" w:rsidP="00AD29FC">
            <w:pPr>
              <w:rPr>
                <w:b/>
                <w:bCs/>
                <w:sz w:val="20"/>
                <w:szCs w:val="20"/>
              </w:rPr>
            </w:pPr>
          </w:p>
        </w:tc>
        <w:tc>
          <w:tcPr>
            <w:tcW w:w="5677" w:type="dxa"/>
            <w:shd w:val="clear" w:color="auto" w:fill="D9D9D9" w:themeFill="background1" w:themeFillShade="D9"/>
          </w:tcPr>
          <w:p w14:paraId="1D932714" w14:textId="5FBFD3DC" w:rsidR="00F30460" w:rsidRPr="00BF3F76" w:rsidRDefault="00F30460">
            <w:pPr>
              <w:rPr>
                <w:b/>
                <w:bCs/>
                <w:sz w:val="20"/>
                <w:szCs w:val="20"/>
                <w:lang w:val="en-US"/>
              </w:rPr>
            </w:pPr>
            <w:r w:rsidRPr="00AD29FC">
              <w:rPr>
                <w:b/>
                <w:bCs/>
                <w:sz w:val="20"/>
                <w:szCs w:val="20"/>
                <w:lang w:val="en-US"/>
              </w:rPr>
              <w:t xml:space="preserve">Terms and conditions of the offer, firm </w:t>
            </w:r>
            <w:proofErr w:type="gramStart"/>
            <w:r w:rsidRPr="00AD29FC">
              <w:rPr>
                <w:b/>
                <w:bCs/>
                <w:sz w:val="20"/>
                <w:szCs w:val="20"/>
                <w:lang w:val="en-US"/>
              </w:rPr>
              <w:t>commitments</w:t>
            </w:r>
            <w:proofErr w:type="gramEnd"/>
            <w:r w:rsidRPr="00AD29FC">
              <w:rPr>
                <w:b/>
                <w:bCs/>
                <w:sz w:val="20"/>
                <w:szCs w:val="20"/>
                <w:lang w:val="en-US"/>
              </w:rPr>
              <w:t xml:space="preserve"> and intentions to subscribe and key features of the underwriting and placement agreements</w:t>
            </w:r>
          </w:p>
        </w:tc>
        <w:tc>
          <w:tcPr>
            <w:tcW w:w="1128" w:type="dxa"/>
            <w:shd w:val="clear" w:color="auto" w:fill="D9D9D9" w:themeFill="background1" w:themeFillShade="D9"/>
          </w:tcPr>
          <w:p w14:paraId="314EF738" w14:textId="77777777" w:rsidR="00F30460" w:rsidRPr="00BF3F76" w:rsidRDefault="00F30460">
            <w:pPr>
              <w:rPr>
                <w:sz w:val="20"/>
                <w:szCs w:val="20"/>
                <w:lang w:val="en-US"/>
              </w:rPr>
            </w:pPr>
          </w:p>
        </w:tc>
        <w:tc>
          <w:tcPr>
            <w:tcW w:w="3260" w:type="dxa"/>
            <w:shd w:val="clear" w:color="auto" w:fill="D9D9D9" w:themeFill="background1" w:themeFillShade="D9"/>
          </w:tcPr>
          <w:p w14:paraId="3D6EE7BA" w14:textId="77777777" w:rsidR="00F30460" w:rsidRPr="00BF3F76" w:rsidRDefault="00F30460">
            <w:pPr>
              <w:rPr>
                <w:sz w:val="20"/>
                <w:szCs w:val="20"/>
                <w:lang w:val="en-US"/>
              </w:rPr>
            </w:pPr>
          </w:p>
        </w:tc>
      </w:tr>
      <w:tr w:rsidR="00F30460" w:rsidRPr="00991899" w14:paraId="32E08901" w14:textId="77777777" w:rsidTr="00BF3F76">
        <w:tc>
          <w:tcPr>
            <w:tcW w:w="709" w:type="dxa"/>
          </w:tcPr>
          <w:p w14:paraId="7CB25FC9" w14:textId="77777777" w:rsidR="00F30460" w:rsidRPr="00BF3F76" w:rsidRDefault="00F30460" w:rsidP="00AD29FC">
            <w:pPr>
              <w:rPr>
                <w:b/>
                <w:bCs/>
                <w:sz w:val="20"/>
                <w:szCs w:val="20"/>
                <w:lang w:val="en-US"/>
              </w:rPr>
            </w:pPr>
          </w:p>
        </w:tc>
        <w:tc>
          <w:tcPr>
            <w:tcW w:w="5677" w:type="dxa"/>
          </w:tcPr>
          <w:p w14:paraId="1D349D0C" w14:textId="77777777" w:rsidR="00F30460" w:rsidRPr="00AD29FC" w:rsidRDefault="00F30460" w:rsidP="00F30460">
            <w:pPr>
              <w:spacing w:after="160" w:line="259" w:lineRule="auto"/>
              <w:rPr>
                <w:sz w:val="20"/>
                <w:szCs w:val="20"/>
                <w:lang w:val="en-US"/>
              </w:rPr>
            </w:pPr>
            <w:r w:rsidRPr="00AD29FC">
              <w:rPr>
                <w:sz w:val="20"/>
                <w:szCs w:val="20"/>
                <w:lang w:val="en-US"/>
              </w:rPr>
              <w:t>Set out the offer price, the number of shares offered, the amount of the issue/offer, the conditions to which the offer is subject, and the procedure for the exercise of any right of pre-emption.</w:t>
            </w:r>
          </w:p>
          <w:p w14:paraId="0679A89C" w14:textId="77777777" w:rsidR="00F30460" w:rsidRPr="00AD29FC" w:rsidRDefault="00F30460" w:rsidP="00F30460">
            <w:pPr>
              <w:spacing w:after="160" w:line="259" w:lineRule="auto"/>
              <w:rPr>
                <w:sz w:val="20"/>
                <w:szCs w:val="20"/>
                <w:lang w:val="en-US"/>
              </w:rPr>
            </w:pPr>
            <w:r w:rsidRPr="00AD29FC">
              <w:rPr>
                <w:sz w:val="20"/>
                <w:szCs w:val="20"/>
                <w:lang w:val="en-US"/>
              </w:rPr>
              <w:t>To the extent known to the issuer, provide information on whether major shareholders or members of the issuer’s management, supervisory or administrative bodies intend to subscribe for the offer, or whether any person intends to subscribe for more than 5 % of the offer.</w:t>
            </w:r>
          </w:p>
          <w:p w14:paraId="6211AA8A" w14:textId="5E2B7684" w:rsidR="00F30460" w:rsidRPr="00BF3F76" w:rsidRDefault="00F30460" w:rsidP="006375B7">
            <w:pPr>
              <w:spacing w:after="160" w:line="259" w:lineRule="auto"/>
              <w:rPr>
                <w:sz w:val="20"/>
                <w:szCs w:val="20"/>
                <w:lang w:val="en-US"/>
              </w:rPr>
            </w:pPr>
            <w:r w:rsidRPr="00AD29FC">
              <w:rPr>
                <w:sz w:val="20"/>
                <w:szCs w:val="20"/>
                <w:lang w:val="en-US"/>
              </w:rPr>
              <w:t>Present any firm commitments to subscribe for more than 5 % of the offer and all material features of the underwriting and placement agreements, including the name and address of the entities agreeing to underwrite or place the issue on a firm commitment basis or under “best efforts” arrangements and the quotas.</w:t>
            </w:r>
          </w:p>
        </w:tc>
        <w:tc>
          <w:tcPr>
            <w:tcW w:w="1128" w:type="dxa"/>
          </w:tcPr>
          <w:p w14:paraId="5AC8482C" w14:textId="77777777" w:rsidR="00F30460" w:rsidRPr="00BF3F76" w:rsidRDefault="00F30460">
            <w:pPr>
              <w:rPr>
                <w:sz w:val="20"/>
                <w:szCs w:val="20"/>
                <w:lang w:val="en-US"/>
              </w:rPr>
            </w:pPr>
          </w:p>
        </w:tc>
        <w:tc>
          <w:tcPr>
            <w:tcW w:w="3260" w:type="dxa"/>
          </w:tcPr>
          <w:p w14:paraId="5085AA3B" w14:textId="77777777" w:rsidR="00F30460" w:rsidRPr="00BF3F76" w:rsidRDefault="00F30460">
            <w:pPr>
              <w:rPr>
                <w:sz w:val="20"/>
                <w:szCs w:val="20"/>
                <w:lang w:val="en-US"/>
              </w:rPr>
            </w:pPr>
          </w:p>
        </w:tc>
      </w:tr>
      <w:tr w:rsidR="00F30460" w:rsidRPr="00991899" w14:paraId="52375854" w14:textId="77777777" w:rsidTr="00661BCE">
        <w:tc>
          <w:tcPr>
            <w:tcW w:w="709" w:type="dxa"/>
            <w:shd w:val="clear" w:color="auto" w:fill="D9D9D9" w:themeFill="background1" w:themeFillShade="D9"/>
          </w:tcPr>
          <w:p w14:paraId="1DD49E67" w14:textId="3FC59286" w:rsidR="00F30460" w:rsidRPr="00BF3F76" w:rsidRDefault="00F30460" w:rsidP="00AD29FC">
            <w:pPr>
              <w:rPr>
                <w:b/>
                <w:bCs/>
                <w:sz w:val="20"/>
                <w:szCs w:val="20"/>
              </w:rPr>
            </w:pPr>
            <w:r w:rsidRPr="00AD29FC">
              <w:rPr>
                <w:b/>
                <w:bCs/>
                <w:sz w:val="20"/>
                <w:szCs w:val="20"/>
                <w:lang w:val="en-US"/>
              </w:rPr>
              <w:t>IX.   </w:t>
            </w:r>
          </w:p>
        </w:tc>
        <w:tc>
          <w:tcPr>
            <w:tcW w:w="5677" w:type="dxa"/>
            <w:shd w:val="clear" w:color="auto" w:fill="D9D9D9" w:themeFill="background1" w:themeFillShade="D9"/>
          </w:tcPr>
          <w:p w14:paraId="00CD938A" w14:textId="4E481E77" w:rsidR="00F30460" w:rsidRPr="00BF3F76" w:rsidRDefault="00F30460">
            <w:pPr>
              <w:rPr>
                <w:b/>
                <w:bCs/>
                <w:sz w:val="20"/>
                <w:szCs w:val="20"/>
                <w:lang w:val="en-US"/>
              </w:rPr>
            </w:pPr>
            <w:r w:rsidRPr="00AD29FC">
              <w:rPr>
                <w:b/>
                <w:bCs/>
                <w:sz w:val="20"/>
                <w:szCs w:val="20"/>
                <w:lang w:val="en-US"/>
              </w:rPr>
              <w:t>Essential information on the shares and on their subscription</w:t>
            </w:r>
          </w:p>
        </w:tc>
        <w:tc>
          <w:tcPr>
            <w:tcW w:w="1128" w:type="dxa"/>
            <w:shd w:val="clear" w:color="auto" w:fill="D9D9D9" w:themeFill="background1" w:themeFillShade="D9"/>
          </w:tcPr>
          <w:p w14:paraId="69A1B87F" w14:textId="77777777" w:rsidR="00F30460" w:rsidRPr="00BF3F76" w:rsidRDefault="00F30460">
            <w:pPr>
              <w:rPr>
                <w:sz w:val="20"/>
                <w:szCs w:val="20"/>
                <w:lang w:val="en-US"/>
              </w:rPr>
            </w:pPr>
          </w:p>
        </w:tc>
        <w:tc>
          <w:tcPr>
            <w:tcW w:w="3260" w:type="dxa"/>
            <w:shd w:val="clear" w:color="auto" w:fill="D9D9D9" w:themeFill="background1" w:themeFillShade="D9"/>
          </w:tcPr>
          <w:p w14:paraId="7C2FD626" w14:textId="77777777" w:rsidR="00F30460" w:rsidRPr="00BF3F76" w:rsidRDefault="00F30460">
            <w:pPr>
              <w:rPr>
                <w:sz w:val="20"/>
                <w:szCs w:val="20"/>
                <w:lang w:val="en-US"/>
              </w:rPr>
            </w:pPr>
          </w:p>
        </w:tc>
      </w:tr>
      <w:tr w:rsidR="00F30460" w:rsidRPr="00991899" w14:paraId="68607F6E" w14:textId="77777777" w:rsidTr="00BF3F76">
        <w:tc>
          <w:tcPr>
            <w:tcW w:w="709" w:type="dxa"/>
          </w:tcPr>
          <w:p w14:paraId="181D5A58" w14:textId="77777777" w:rsidR="00F30460" w:rsidRPr="00BF3F76" w:rsidRDefault="00F30460" w:rsidP="00AD29FC">
            <w:pPr>
              <w:rPr>
                <w:b/>
                <w:bCs/>
                <w:sz w:val="20"/>
                <w:szCs w:val="20"/>
                <w:lang w:val="en-US"/>
              </w:rPr>
            </w:pPr>
          </w:p>
        </w:tc>
        <w:tc>
          <w:tcPr>
            <w:tcW w:w="5677" w:type="dxa"/>
          </w:tcPr>
          <w:p w14:paraId="5F5B8F76" w14:textId="77777777" w:rsidR="00F30460" w:rsidRPr="00AD29FC" w:rsidRDefault="00F30460" w:rsidP="00F30460">
            <w:pPr>
              <w:spacing w:after="160" w:line="259" w:lineRule="auto"/>
              <w:rPr>
                <w:sz w:val="20"/>
                <w:szCs w:val="20"/>
                <w:lang w:val="en-US"/>
              </w:rPr>
            </w:pPr>
            <w:r w:rsidRPr="00AD29FC">
              <w:rPr>
                <w:sz w:val="20"/>
                <w:szCs w:val="20"/>
                <w:lang w:val="en-US"/>
              </w:rPr>
              <w:t>Provide the following essential information about the shares offered to the public or admitted to trading on a regulated market:</w:t>
            </w:r>
          </w:p>
          <w:tbl>
            <w:tblPr>
              <w:tblW w:w="5000" w:type="pct"/>
              <w:tblCellMar>
                <w:left w:w="0" w:type="dxa"/>
                <w:right w:w="0" w:type="dxa"/>
              </w:tblCellMar>
              <w:tblLook w:val="04A0" w:firstRow="1" w:lastRow="0" w:firstColumn="1" w:lastColumn="0" w:noHBand="0" w:noVBand="1"/>
            </w:tblPr>
            <w:tblGrid>
              <w:gridCol w:w="257"/>
              <w:gridCol w:w="5201"/>
            </w:tblGrid>
            <w:tr w:rsidR="00F30460" w:rsidRPr="00991899" w14:paraId="40EC7240" w14:textId="77777777" w:rsidTr="008274CD">
              <w:tc>
                <w:tcPr>
                  <w:tcW w:w="0" w:type="auto"/>
                  <w:shd w:val="clear" w:color="auto" w:fill="auto"/>
                  <w:hideMark/>
                </w:tcPr>
                <w:p w14:paraId="569B9675" w14:textId="77777777" w:rsidR="00F30460" w:rsidRPr="00AD29FC" w:rsidRDefault="00F30460" w:rsidP="00F30460">
                  <w:pPr>
                    <w:rPr>
                      <w:sz w:val="20"/>
                      <w:szCs w:val="20"/>
                    </w:rPr>
                  </w:pPr>
                  <w:r w:rsidRPr="00AD29FC">
                    <w:rPr>
                      <w:sz w:val="20"/>
                      <w:szCs w:val="20"/>
                    </w:rPr>
                    <w:t>(a)</w:t>
                  </w:r>
                </w:p>
              </w:tc>
              <w:tc>
                <w:tcPr>
                  <w:tcW w:w="0" w:type="auto"/>
                  <w:shd w:val="clear" w:color="auto" w:fill="auto"/>
                  <w:hideMark/>
                </w:tcPr>
                <w:p w14:paraId="29E7E943" w14:textId="77777777" w:rsidR="00F30460" w:rsidRPr="00AD29FC" w:rsidRDefault="00F30460" w:rsidP="00F30460">
                  <w:pPr>
                    <w:rPr>
                      <w:sz w:val="20"/>
                      <w:szCs w:val="20"/>
                      <w:lang w:val="en-US"/>
                    </w:rPr>
                  </w:pPr>
                  <w:r w:rsidRPr="00AD29FC">
                    <w:rPr>
                      <w:sz w:val="20"/>
                      <w:szCs w:val="20"/>
                      <w:lang w:val="en-US"/>
                    </w:rPr>
                    <w:t>the international security identification number (ISIN);</w:t>
                  </w:r>
                </w:p>
              </w:tc>
            </w:tr>
          </w:tbl>
          <w:p w14:paraId="49E7E2F5" w14:textId="77777777" w:rsidR="00F30460" w:rsidRPr="00AD29FC" w:rsidRDefault="00F30460" w:rsidP="00F30460">
            <w:pPr>
              <w:spacing w:after="160" w:line="259" w:lineRule="auto"/>
              <w:rPr>
                <w:vanish/>
                <w:sz w:val="20"/>
                <w:szCs w:val="20"/>
              </w:rPr>
            </w:pPr>
          </w:p>
          <w:tbl>
            <w:tblPr>
              <w:tblW w:w="5000" w:type="pct"/>
              <w:tblCellMar>
                <w:left w:w="0" w:type="dxa"/>
                <w:right w:w="0" w:type="dxa"/>
              </w:tblCellMar>
              <w:tblLook w:val="04A0" w:firstRow="1" w:lastRow="0" w:firstColumn="1" w:lastColumn="0" w:noHBand="0" w:noVBand="1"/>
            </w:tblPr>
            <w:tblGrid>
              <w:gridCol w:w="227"/>
              <w:gridCol w:w="5231"/>
            </w:tblGrid>
            <w:tr w:rsidR="00F30460" w:rsidRPr="00991899" w14:paraId="6D206056" w14:textId="77777777" w:rsidTr="008274CD">
              <w:tc>
                <w:tcPr>
                  <w:tcW w:w="0" w:type="auto"/>
                  <w:shd w:val="clear" w:color="auto" w:fill="auto"/>
                  <w:hideMark/>
                </w:tcPr>
                <w:p w14:paraId="5FFAA572" w14:textId="77777777" w:rsidR="00F30460" w:rsidRPr="00AD29FC" w:rsidRDefault="00F30460" w:rsidP="00F30460">
                  <w:pPr>
                    <w:rPr>
                      <w:sz w:val="20"/>
                      <w:szCs w:val="20"/>
                    </w:rPr>
                  </w:pPr>
                  <w:r w:rsidRPr="00AD29FC">
                    <w:rPr>
                      <w:sz w:val="20"/>
                      <w:szCs w:val="20"/>
                    </w:rPr>
                    <w:t>(b)</w:t>
                  </w:r>
                </w:p>
              </w:tc>
              <w:tc>
                <w:tcPr>
                  <w:tcW w:w="0" w:type="auto"/>
                  <w:shd w:val="clear" w:color="auto" w:fill="auto"/>
                  <w:hideMark/>
                </w:tcPr>
                <w:p w14:paraId="2DA9FB74" w14:textId="77777777" w:rsidR="00F30460" w:rsidRPr="00AD29FC" w:rsidRDefault="00F30460" w:rsidP="00F30460">
                  <w:pPr>
                    <w:rPr>
                      <w:sz w:val="20"/>
                      <w:szCs w:val="20"/>
                      <w:lang w:val="en-US"/>
                    </w:rPr>
                  </w:pPr>
                  <w:r w:rsidRPr="00AD29FC">
                    <w:rPr>
                      <w:sz w:val="20"/>
                      <w:szCs w:val="20"/>
                      <w:lang w:val="en-US"/>
                    </w:rPr>
                    <w:t>the rights attached to the shares, the procedure for the exercise of those rights and any limitations of those rights;</w:t>
                  </w:r>
                </w:p>
              </w:tc>
            </w:tr>
          </w:tbl>
          <w:p w14:paraId="0E1CC339" w14:textId="77777777" w:rsidR="00F30460" w:rsidRPr="00AD29FC" w:rsidRDefault="00F30460" w:rsidP="00F30460">
            <w:pPr>
              <w:spacing w:after="160" w:line="259" w:lineRule="auto"/>
              <w:rPr>
                <w:vanish/>
                <w:sz w:val="20"/>
                <w:szCs w:val="20"/>
              </w:rPr>
            </w:pPr>
          </w:p>
          <w:tbl>
            <w:tblPr>
              <w:tblW w:w="5000" w:type="pct"/>
              <w:tblCellMar>
                <w:left w:w="0" w:type="dxa"/>
                <w:right w:w="0" w:type="dxa"/>
              </w:tblCellMar>
              <w:tblLook w:val="04A0" w:firstRow="1" w:lastRow="0" w:firstColumn="1" w:lastColumn="0" w:noHBand="0" w:noVBand="1"/>
            </w:tblPr>
            <w:tblGrid>
              <w:gridCol w:w="206"/>
              <w:gridCol w:w="5252"/>
            </w:tblGrid>
            <w:tr w:rsidR="00F30460" w:rsidRPr="00991899" w14:paraId="7A7F2C37" w14:textId="77777777" w:rsidTr="008274CD">
              <w:tc>
                <w:tcPr>
                  <w:tcW w:w="0" w:type="auto"/>
                  <w:shd w:val="clear" w:color="auto" w:fill="auto"/>
                  <w:hideMark/>
                </w:tcPr>
                <w:p w14:paraId="007A1E7A" w14:textId="77777777" w:rsidR="00F30460" w:rsidRPr="00AD29FC" w:rsidRDefault="00F30460" w:rsidP="00F30460">
                  <w:pPr>
                    <w:rPr>
                      <w:sz w:val="20"/>
                      <w:szCs w:val="20"/>
                    </w:rPr>
                  </w:pPr>
                  <w:r w:rsidRPr="00AD29FC">
                    <w:rPr>
                      <w:sz w:val="20"/>
                      <w:szCs w:val="20"/>
                    </w:rPr>
                    <w:t>(c)</w:t>
                  </w:r>
                </w:p>
              </w:tc>
              <w:tc>
                <w:tcPr>
                  <w:tcW w:w="0" w:type="auto"/>
                  <w:shd w:val="clear" w:color="auto" w:fill="auto"/>
                  <w:hideMark/>
                </w:tcPr>
                <w:p w14:paraId="67EFEDB5" w14:textId="77777777" w:rsidR="00F30460" w:rsidRPr="00AD29FC" w:rsidRDefault="00F30460" w:rsidP="00F30460">
                  <w:pPr>
                    <w:rPr>
                      <w:sz w:val="20"/>
                      <w:szCs w:val="20"/>
                      <w:lang w:val="en-US"/>
                    </w:rPr>
                  </w:pPr>
                  <w:r w:rsidRPr="00AD29FC">
                    <w:rPr>
                      <w:sz w:val="20"/>
                      <w:szCs w:val="20"/>
                      <w:lang w:val="en-US"/>
                    </w:rPr>
                    <w:t xml:space="preserve">where the shares can be subscribed as well as on the </w:t>
                  </w:r>
                  <w:proofErr w:type="gramStart"/>
                  <w:r w:rsidRPr="00AD29FC">
                    <w:rPr>
                      <w:sz w:val="20"/>
                      <w:szCs w:val="20"/>
                      <w:lang w:val="en-US"/>
                    </w:rPr>
                    <w:t>time period</w:t>
                  </w:r>
                  <w:proofErr w:type="gramEnd"/>
                  <w:r w:rsidRPr="00AD29FC">
                    <w:rPr>
                      <w:sz w:val="20"/>
                      <w:szCs w:val="20"/>
                      <w:lang w:val="en-US"/>
                    </w:rPr>
                    <w:t>, including any possible amendments, during which the offer will be open and a description of the application process together with the issue date of new shares.</w:t>
                  </w:r>
                </w:p>
              </w:tc>
            </w:tr>
          </w:tbl>
          <w:p w14:paraId="391F9359" w14:textId="77777777" w:rsidR="00F30460" w:rsidRPr="00BF3F76" w:rsidRDefault="00F30460">
            <w:pPr>
              <w:rPr>
                <w:b/>
                <w:bCs/>
                <w:sz w:val="20"/>
                <w:szCs w:val="20"/>
                <w:lang w:val="en-US"/>
              </w:rPr>
            </w:pPr>
          </w:p>
        </w:tc>
        <w:tc>
          <w:tcPr>
            <w:tcW w:w="1128" w:type="dxa"/>
          </w:tcPr>
          <w:p w14:paraId="0B649736" w14:textId="77777777" w:rsidR="00F30460" w:rsidRPr="00BF3F76" w:rsidRDefault="00F30460">
            <w:pPr>
              <w:rPr>
                <w:sz w:val="20"/>
                <w:szCs w:val="20"/>
                <w:lang w:val="en-US"/>
              </w:rPr>
            </w:pPr>
          </w:p>
        </w:tc>
        <w:tc>
          <w:tcPr>
            <w:tcW w:w="3260" w:type="dxa"/>
          </w:tcPr>
          <w:p w14:paraId="2D09B48E" w14:textId="77777777" w:rsidR="00F30460" w:rsidRPr="00BF3F76" w:rsidRDefault="00F30460">
            <w:pPr>
              <w:rPr>
                <w:sz w:val="20"/>
                <w:szCs w:val="20"/>
                <w:lang w:val="en-US"/>
              </w:rPr>
            </w:pPr>
          </w:p>
        </w:tc>
      </w:tr>
      <w:tr w:rsidR="00F30460" w:rsidRPr="00991899" w14:paraId="746182D9" w14:textId="77777777" w:rsidTr="00661BCE">
        <w:tc>
          <w:tcPr>
            <w:tcW w:w="709" w:type="dxa"/>
            <w:shd w:val="clear" w:color="auto" w:fill="D9D9D9" w:themeFill="background1" w:themeFillShade="D9"/>
          </w:tcPr>
          <w:p w14:paraId="292CF322" w14:textId="4D7A0771" w:rsidR="00F30460" w:rsidRPr="00BF3F76" w:rsidRDefault="00F30460" w:rsidP="00AD29FC">
            <w:pPr>
              <w:rPr>
                <w:b/>
                <w:bCs/>
                <w:sz w:val="20"/>
                <w:szCs w:val="20"/>
              </w:rPr>
            </w:pPr>
            <w:r w:rsidRPr="00AD29FC">
              <w:rPr>
                <w:b/>
                <w:bCs/>
                <w:sz w:val="20"/>
                <w:szCs w:val="20"/>
                <w:lang w:val="en-US"/>
              </w:rPr>
              <w:t>X.   </w:t>
            </w:r>
          </w:p>
        </w:tc>
        <w:tc>
          <w:tcPr>
            <w:tcW w:w="5677" w:type="dxa"/>
            <w:shd w:val="clear" w:color="auto" w:fill="D9D9D9" w:themeFill="background1" w:themeFillShade="D9"/>
          </w:tcPr>
          <w:p w14:paraId="3C7839A4" w14:textId="446E838A" w:rsidR="00F30460" w:rsidRPr="00BF3F76" w:rsidRDefault="00F30460" w:rsidP="006375B7">
            <w:pPr>
              <w:spacing w:after="160" w:line="259" w:lineRule="auto"/>
              <w:rPr>
                <w:b/>
                <w:bCs/>
                <w:sz w:val="20"/>
                <w:szCs w:val="20"/>
                <w:lang w:val="en-US"/>
              </w:rPr>
            </w:pPr>
            <w:r w:rsidRPr="00AD29FC">
              <w:rPr>
                <w:b/>
                <w:bCs/>
                <w:sz w:val="20"/>
                <w:szCs w:val="20"/>
                <w:lang w:val="en-US"/>
              </w:rPr>
              <w:t>Reasons for the offer and use of proceeds</w:t>
            </w:r>
          </w:p>
        </w:tc>
        <w:tc>
          <w:tcPr>
            <w:tcW w:w="1128" w:type="dxa"/>
            <w:shd w:val="clear" w:color="auto" w:fill="D9D9D9" w:themeFill="background1" w:themeFillShade="D9"/>
          </w:tcPr>
          <w:p w14:paraId="6B481DB2" w14:textId="77777777" w:rsidR="00F30460" w:rsidRPr="00BF3F76" w:rsidRDefault="00F30460">
            <w:pPr>
              <w:rPr>
                <w:sz w:val="20"/>
                <w:szCs w:val="20"/>
                <w:lang w:val="en-US"/>
              </w:rPr>
            </w:pPr>
          </w:p>
        </w:tc>
        <w:tc>
          <w:tcPr>
            <w:tcW w:w="3260" w:type="dxa"/>
            <w:shd w:val="clear" w:color="auto" w:fill="D9D9D9" w:themeFill="background1" w:themeFillShade="D9"/>
          </w:tcPr>
          <w:p w14:paraId="48A81CB1" w14:textId="77777777" w:rsidR="00F30460" w:rsidRPr="00BF3F76" w:rsidRDefault="00F30460">
            <w:pPr>
              <w:rPr>
                <w:sz w:val="20"/>
                <w:szCs w:val="20"/>
                <w:lang w:val="en-US"/>
              </w:rPr>
            </w:pPr>
          </w:p>
        </w:tc>
      </w:tr>
      <w:tr w:rsidR="00F30460" w:rsidRPr="00716E49" w14:paraId="267BFF67" w14:textId="77777777" w:rsidTr="00BF3F76">
        <w:tc>
          <w:tcPr>
            <w:tcW w:w="709" w:type="dxa"/>
          </w:tcPr>
          <w:p w14:paraId="65B92003" w14:textId="77777777" w:rsidR="00F30460" w:rsidRPr="00BF3F76" w:rsidRDefault="00F30460" w:rsidP="00AD29FC">
            <w:pPr>
              <w:rPr>
                <w:b/>
                <w:bCs/>
                <w:sz w:val="20"/>
                <w:szCs w:val="20"/>
                <w:lang w:val="en-US"/>
              </w:rPr>
            </w:pPr>
          </w:p>
        </w:tc>
        <w:tc>
          <w:tcPr>
            <w:tcW w:w="5677" w:type="dxa"/>
          </w:tcPr>
          <w:p w14:paraId="10FFA44C" w14:textId="77777777" w:rsidR="00F30460" w:rsidRPr="00AD29FC" w:rsidRDefault="00F30460" w:rsidP="00F30460">
            <w:pPr>
              <w:spacing w:after="160" w:line="259" w:lineRule="auto"/>
              <w:rPr>
                <w:sz w:val="20"/>
                <w:szCs w:val="20"/>
                <w:lang w:val="en-US"/>
              </w:rPr>
            </w:pPr>
            <w:r w:rsidRPr="00AD29FC">
              <w:rPr>
                <w:sz w:val="20"/>
                <w:szCs w:val="20"/>
                <w:lang w:val="en-US"/>
              </w:rPr>
              <w:t>Provide information on the reasons for the offer and, where applicable, the estimated net amount of the proceeds broken into each principal intended use and presented in order of priority of such uses.</w:t>
            </w:r>
          </w:p>
          <w:p w14:paraId="0A0E1193" w14:textId="5EB919F3" w:rsidR="00F30460" w:rsidRPr="00BF3F76" w:rsidRDefault="00F30460" w:rsidP="006375B7">
            <w:pPr>
              <w:spacing w:after="160" w:line="259" w:lineRule="auto"/>
              <w:rPr>
                <w:sz w:val="20"/>
                <w:szCs w:val="20"/>
                <w:lang w:val="en-US"/>
              </w:rPr>
            </w:pPr>
            <w:r w:rsidRPr="00AD29FC">
              <w:rPr>
                <w:sz w:val="20"/>
                <w:szCs w:val="20"/>
                <w:lang w:val="en-US"/>
              </w:rPr>
              <w:t xml:space="preserve">Where the issuer is aware that the anticipated proceeds will not be sufficient to fund all the proposed uses, it must state the amount and sources of other funds needed. Details must also be given </w:t>
            </w:r>
            <w:proofErr w:type="gramStart"/>
            <w:r w:rsidRPr="00AD29FC">
              <w:rPr>
                <w:sz w:val="20"/>
                <w:szCs w:val="20"/>
                <w:lang w:val="en-US"/>
              </w:rPr>
              <w:t>with regard to</w:t>
            </w:r>
            <w:proofErr w:type="gramEnd"/>
            <w:r w:rsidRPr="00AD29FC">
              <w:rPr>
                <w:sz w:val="20"/>
                <w:szCs w:val="20"/>
                <w:lang w:val="en-US"/>
              </w:rPr>
              <w:t xml:space="preserve"> the use of the proceeds, in particular where proceeds are being used to acquire assets, other than in the ordinary course of business, to finance announced acquisitions of other business, or to discharge, reduce or retire indebtedness.</w:t>
            </w:r>
          </w:p>
        </w:tc>
        <w:tc>
          <w:tcPr>
            <w:tcW w:w="1128" w:type="dxa"/>
          </w:tcPr>
          <w:p w14:paraId="58C4D8E4" w14:textId="77777777" w:rsidR="00F30460" w:rsidRPr="00BF3F76" w:rsidRDefault="00F30460">
            <w:pPr>
              <w:rPr>
                <w:sz w:val="20"/>
                <w:szCs w:val="20"/>
                <w:lang w:val="en-US"/>
              </w:rPr>
            </w:pPr>
          </w:p>
        </w:tc>
        <w:tc>
          <w:tcPr>
            <w:tcW w:w="3260" w:type="dxa"/>
          </w:tcPr>
          <w:p w14:paraId="12C18E47" w14:textId="70E572CA" w:rsidR="00F30460" w:rsidRPr="00BF3F76" w:rsidRDefault="00F30460">
            <w:pPr>
              <w:rPr>
                <w:sz w:val="20"/>
                <w:szCs w:val="20"/>
                <w:lang w:val="en-US"/>
              </w:rPr>
            </w:pPr>
          </w:p>
        </w:tc>
      </w:tr>
      <w:tr w:rsidR="00F30460" w:rsidRPr="00991899" w14:paraId="48310CFA" w14:textId="77777777" w:rsidTr="00661BCE">
        <w:tc>
          <w:tcPr>
            <w:tcW w:w="709" w:type="dxa"/>
            <w:shd w:val="clear" w:color="auto" w:fill="D9D9D9" w:themeFill="background1" w:themeFillShade="D9"/>
          </w:tcPr>
          <w:p w14:paraId="119E1989" w14:textId="24D621EF" w:rsidR="00F30460" w:rsidRPr="00BF3F76" w:rsidRDefault="00F30460" w:rsidP="00AD29FC">
            <w:pPr>
              <w:rPr>
                <w:b/>
                <w:bCs/>
                <w:sz w:val="20"/>
                <w:szCs w:val="20"/>
              </w:rPr>
            </w:pPr>
            <w:r w:rsidRPr="00AD29FC">
              <w:rPr>
                <w:b/>
                <w:bCs/>
                <w:sz w:val="20"/>
                <w:szCs w:val="20"/>
                <w:lang w:val="en-US"/>
              </w:rPr>
              <w:t>XI.   </w:t>
            </w:r>
          </w:p>
        </w:tc>
        <w:tc>
          <w:tcPr>
            <w:tcW w:w="5677" w:type="dxa"/>
            <w:shd w:val="clear" w:color="auto" w:fill="D9D9D9" w:themeFill="background1" w:themeFillShade="D9"/>
          </w:tcPr>
          <w:p w14:paraId="79465F14" w14:textId="7E2570CA" w:rsidR="00F30460" w:rsidRPr="00BF3F76" w:rsidRDefault="00F30460" w:rsidP="006375B7">
            <w:pPr>
              <w:spacing w:after="160" w:line="259" w:lineRule="auto"/>
              <w:rPr>
                <w:b/>
                <w:bCs/>
                <w:sz w:val="20"/>
                <w:szCs w:val="20"/>
                <w:lang w:val="en-US"/>
              </w:rPr>
            </w:pPr>
            <w:r w:rsidRPr="00AD29FC">
              <w:rPr>
                <w:b/>
                <w:bCs/>
                <w:sz w:val="20"/>
                <w:szCs w:val="20"/>
                <w:lang w:val="en-US"/>
              </w:rPr>
              <w:t>Receipt of state aid support</w:t>
            </w:r>
          </w:p>
        </w:tc>
        <w:tc>
          <w:tcPr>
            <w:tcW w:w="1128" w:type="dxa"/>
            <w:shd w:val="clear" w:color="auto" w:fill="D9D9D9" w:themeFill="background1" w:themeFillShade="D9"/>
          </w:tcPr>
          <w:p w14:paraId="1BBA78F4" w14:textId="77777777" w:rsidR="00F30460" w:rsidRPr="00BF3F76" w:rsidRDefault="00F30460">
            <w:pPr>
              <w:rPr>
                <w:sz w:val="20"/>
                <w:szCs w:val="20"/>
                <w:lang w:val="en-US"/>
              </w:rPr>
            </w:pPr>
          </w:p>
        </w:tc>
        <w:tc>
          <w:tcPr>
            <w:tcW w:w="3260" w:type="dxa"/>
            <w:shd w:val="clear" w:color="auto" w:fill="D9D9D9" w:themeFill="background1" w:themeFillShade="D9"/>
          </w:tcPr>
          <w:p w14:paraId="5BBEF7B0" w14:textId="77777777" w:rsidR="00F30460" w:rsidRPr="00BF3F76" w:rsidRDefault="00F30460">
            <w:pPr>
              <w:rPr>
                <w:sz w:val="20"/>
                <w:szCs w:val="20"/>
                <w:lang w:val="en-US"/>
              </w:rPr>
            </w:pPr>
          </w:p>
        </w:tc>
      </w:tr>
      <w:tr w:rsidR="00F30460" w:rsidRPr="00716E49" w14:paraId="641EF0F1" w14:textId="77777777" w:rsidTr="00BF3F76">
        <w:tc>
          <w:tcPr>
            <w:tcW w:w="709" w:type="dxa"/>
          </w:tcPr>
          <w:p w14:paraId="5684DFC8" w14:textId="77777777" w:rsidR="00F30460" w:rsidRPr="00BF3F76" w:rsidRDefault="00F30460" w:rsidP="00AD29FC">
            <w:pPr>
              <w:rPr>
                <w:b/>
                <w:bCs/>
                <w:sz w:val="20"/>
                <w:szCs w:val="20"/>
                <w:lang w:val="en-US"/>
              </w:rPr>
            </w:pPr>
          </w:p>
        </w:tc>
        <w:tc>
          <w:tcPr>
            <w:tcW w:w="5677" w:type="dxa"/>
          </w:tcPr>
          <w:p w14:paraId="2577FC90" w14:textId="77777777" w:rsidR="00F30460" w:rsidRPr="00AD29FC" w:rsidRDefault="00F30460" w:rsidP="00F30460">
            <w:pPr>
              <w:spacing w:after="160" w:line="259" w:lineRule="auto"/>
              <w:rPr>
                <w:sz w:val="20"/>
                <w:szCs w:val="20"/>
                <w:lang w:val="en-US"/>
              </w:rPr>
            </w:pPr>
            <w:r w:rsidRPr="00AD29FC">
              <w:rPr>
                <w:sz w:val="20"/>
                <w:szCs w:val="20"/>
                <w:lang w:val="en-US"/>
              </w:rPr>
              <w:t>Provide a statement with information as to whether the issuer has benefited from state aid in whatever form in the context of the recovery as well as the purpose of the aid, type of instrument and amount of the aid received and conditions attached to it, if any.</w:t>
            </w:r>
          </w:p>
          <w:p w14:paraId="4289E202" w14:textId="7D64FCB3" w:rsidR="00F30460" w:rsidRPr="00BF3F76" w:rsidRDefault="00F30460" w:rsidP="006375B7">
            <w:pPr>
              <w:spacing w:after="160" w:line="259" w:lineRule="auto"/>
              <w:rPr>
                <w:sz w:val="20"/>
                <w:szCs w:val="20"/>
                <w:lang w:val="en-US"/>
              </w:rPr>
            </w:pPr>
            <w:r w:rsidRPr="00AD29FC">
              <w:rPr>
                <w:sz w:val="20"/>
                <w:szCs w:val="20"/>
                <w:lang w:val="en-US"/>
              </w:rPr>
              <w:t xml:space="preserve">The statement as to whether the issuer received state aid must contain a declaration that the information is provided solely under the responsibility of the persons responsible for the prospectus, as referred to in Article 11(1), that the competent authority’s role in approving the prospectus is to </w:t>
            </w:r>
            <w:proofErr w:type="spellStart"/>
            <w:r w:rsidRPr="00AD29FC">
              <w:rPr>
                <w:sz w:val="20"/>
                <w:szCs w:val="20"/>
                <w:lang w:val="en-US"/>
              </w:rPr>
              <w:t>scrutinise</w:t>
            </w:r>
            <w:proofErr w:type="spellEnd"/>
            <w:r w:rsidRPr="00AD29FC">
              <w:rPr>
                <w:sz w:val="20"/>
                <w:szCs w:val="20"/>
                <w:lang w:val="en-US"/>
              </w:rPr>
              <w:t xml:space="preserve"> its completeness, comprehensibility and consistency, and that therefore in respect of the statement on state aid the competent authority is not obliged to independently verify that statement.</w:t>
            </w:r>
          </w:p>
        </w:tc>
        <w:tc>
          <w:tcPr>
            <w:tcW w:w="1128" w:type="dxa"/>
          </w:tcPr>
          <w:p w14:paraId="3EB04536" w14:textId="77777777" w:rsidR="00F30460" w:rsidRPr="00BF3F76" w:rsidRDefault="00F30460">
            <w:pPr>
              <w:rPr>
                <w:sz w:val="20"/>
                <w:szCs w:val="20"/>
                <w:lang w:val="en-US"/>
              </w:rPr>
            </w:pPr>
          </w:p>
        </w:tc>
        <w:tc>
          <w:tcPr>
            <w:tcW w:w="3260" w:type="dxa"/>
          </w:tcPr>
          <w:p w14:paraId="0B5C0455" w14:textId="2D71A360" w:rsidR="00F30460" w:rsidRPr="00BF3F76" w:rsidRDefault="00F30460">
            <w:pPr>
              <w:rPr>
                <w:sz w:val="20"/>
                <w:szCs w:val="20"/>
                <w:lang w:val="en-US"/>
              </w:rPr>
            </w:pPr>
          </w:p>
        </w:tc>
      </w:tr>
      <w:tr w:rsidR="00F30460" w:rsidRPr="00BF3F76" w14:paraId="611322A3" w14:textId="77777777" w:rsidTr="00661BCE">
        <w:tc>
          <w:tcPr>
            <w:tcW w:w="709" w:type="dxa"/>
            <w:shd w:val="clear" w:color="auto" w:fill="D9D9D9" w:themeFill="background1" w:themeFillShade="D9"/>
          </w:tcPr>
          <w:p w14:paraId="0AB4A74C" w14:textId="263F6108" w:rsidR="00F30460" w:rsidRPr="00BF3F76" w:rsidRDefault="00F30460" w:rsidP="006375B7">
            <w:pPr>
              <w:spacing w:after="160" w:line="259" w:lineRule="auto"/>
              <w:rPr>
                <w:b/>
                <w:bCs/>
                <w:sz w:val="20"/>
                <w:szCs w:val="20"/>
                <w:lang w:val="en-US"/>
              </w:rPr>
            </w:pPr>
            <w:r w:rsidRPr="00AD29FC">
              <w:rPr>
                <w:b/>
                <w:bCs/>
                <w:sz w:val="20"/>
                <w:szCs w:val="20"/>
                <w:lang w:val="en-US"/>
              </w:rPr>
              <w:t>XII.   </w:t>
            </w:r>
          </w:p>
        </w:tc>
        <w:tc>
          <w:tcPr>
            <w:tcW w:w="5677" w:type="dxa"/>
            <w:shd w:val="clear" w:color="auto" w:fill="D9D9D9" w:themeFill="background1" w:themeFillShade="D9"/>
          </w:tcPr>
          <w:p w14:paraId="4F82D292" w14:textId="1C19C259" w:rsidR="00F30460" w:rsidRPr="00BF3F76" w:rsidRDefault="00F30460">
            <w:pPr>
              <w:rPr>
                <w:b/>
                <w:bCs/>
                <w:sz w:val="20"/>
                <w:szCs w:val="20"/>
              </w:rPr>
            </w:pPr>
            <w:r w:rsidRPr="00AD29FC">
              <w:rPr>
                <w:b/>
                <w:bCs/>
                <w:sz w:val="20"/>
                <w:szCs w:val="20"/>
                <w:lang w:val="en-US"/>
              </w:rPr>
              <w:t>Working capital statement</w:t>
            </w:r>
          </w:p>
        </w:tc>
        <w:tc>
          <w:tcPr>
            <w:tcW w:w="1128" w:type="dxa"/>
            <w:shd w:val="clear" w:color="auto" w:fill="D9D9D9" w:themeFill="background1" w:themeFillShade="D9"/>
          </w:tcPr>
          <w:p w14:paraId="68D4FB36" w14:textId="77777777" w:rsidR="00F30460" w:rsidRPr="00BF3F76" w:rsidRDefault="00F30460">
            <w:pPr>
              <w:rPr>
                <w:sz w:val="20"/>
                <w:szCs w:val="20"/>
                <w:lang w:val="en-US"/>
              </w:rPr>
            </w:pPr>
          </w:p>
        </w:tc>
        <w:tc>
          <w:tcPr>
            <w:tcW w:w="3260" w:type="dxa"/>
            <w:shd w:val="clear" w:color="auto" w:fill="D9D9D9" w:themeFill="background1" w:themeFillShade="D9"/>
          </w:tcPr>
          <w:p w14:paraId="4DB62E18" w14:textId="77777777" w:rsidR="00F30460" w:rsidRPr="00BF3F76" w:rsidRDefault="00F30460">
            <w:pPr>
              <w:rPr>
                <w:sz w:val="20"/>
                <w:szCs w:val="20"/>
                <w:lang w:val="en-US"/>
              </w:rPr>
            </w:pPr>
          </w:p>
        </w:tc>
      </w:tr>
      <w:tr w:rsidR="00F30460" w:rsidRPr="00716E49" w14:paraId="131BCB52" w14:textId="77777777" w:rsidTr="00BF3F76">
        <w:tc>
          <w:tcPr>
            <w:tcW w:w="709" w:type="dxa"/>
          </w:tcPr>
          <w:p w14:paraId="15A79B16" w14:textId="77777777" w:rsidR="00F30460" w:rsidRPr="00BF3F76" w:rsidRDefault="00F30460" w:rsidP="00AD29FC">
            <w:pPr>
              <w:rPr>
                <w:b/>
                <w:bCs/>
                <w:sz w:val="20"/>
                <w:szCs w:val="20"/>
              </w:rPr>
            </w:pPr>
          </w:p>
        </w:tc>
        <w:tc>
          <w:tcPr>
            <w:tcW w:w="5677" w:type="dxa"/>
          </w:tcPr>
          <w:p w14:paraId="0825DDE6" w14:textId="77777777" w:rsidR="00F30460" w:rsidRPr="00AD29FC" w:rsidRDefault="00F30460" w:rsidP="00F30460">
            <w:pPr>
              <w:spacing w:after="160" w:line="259" w:lineRule="auto"/>
              <w:rPr>
                <w:sz w:val="20"/>
                <w:szCs w:val="20"/>
                <w:lang w:val="en-US"/>
              </w:rPr>
            </w:pPr>
            <w:r w:rsidRPr="00AD29FC">
              <w:rPr>
                <w:sz w:val="20"/>
                <w:szCs w:val="20"/>
                <w:lang w:val="en-US"/>
              </w:rPr>
              <w:t>Statement by the issuer that, in its opinion, the working capital is sufficient for the issuer’s present requirements or, if not, how the issuer proposes to provide the additional working capital needed.</w:t>
            </w:r>
          </w:p>
          <w:p w14:paraId="59F568D7" w14:textId="77777777" w:rsidR="00F30460" w:rsidRPr="00BF3F76" w:rsidRDefault="00F30460">
            <w:pPr>
              <w:rPr>
                <w:b/>
                <w:bCs/>
                <w:sz w:val="20"/>
                <w:szCs w:val="20"/>
                <w:lang w:val="en-US"/>
              </w:rPr>
            </w:pPr>
          </w:p>
        </w:tc>
        <w:tc>
          <w:tcPr>
            <w:tcW w:w="1128" w:type="dxa"/>
          </w:tcPr>
          <w:p w14:paraId="36C3F5BE" w14:textId="77777777" w:rsidR="00F30460" w:rsidRPr="00BF3F76" w:rsidRDefault="00F30460">
            <w:pPr>
              <w:rPr>
                <w:sz w:val="20"/>
                <w:szCs w:val="20"/>
                <w:lang w:val="en-US"/>
              </w:rPr>
            </w:pPr>
          </w:p>
        </w:tc>
        <w:tc>
          <w:tcPr>
            <w:tcW w:w="3260" w:type="dxa"/>
          </w:tcPr>
          <w:p w14:paraId="16B75A9C" w14:textId="7B95543E" w:rsidR="00F30460" w:rsidRPr="00BF3F76" w:rsidRDefault="00F30460">
            <w:pPr>
              <w:rPr>
                <w:sz w:val="20"/>
                <w:szCs w:val="20"/>
                <w:lang w:val="en-US"/>
              </w:rPr>
            </w:pPr>
          </w:p>
        </w:tc>
      </w:tr>
      <w:tr w:rsidR="00AD29FC" w:rsidRPr="00BF3F76" w14:paraId="3E24E2FA" w14:textId="77777777" w:rsidTr="00661BCE">
        <w:tc>
          <w:tcPr>
            <w:tcW w:w="709" w:type="dxa"/>
            <w:shd w:val="clear" w:color="auto" w:fill="D9D9D9" w:themeFill="background1" w:themeFillShade="D9"/>
          </w:tcPr>
          <w:p w14:paraId="02638A0C" w14:textId="55478FC0" w:rsidR="00AD29FC" w:rsidRPr="00BF3F76" w:rsidRDefault="00AD29FC" w:rsidP="00AD29FC">
            <w:pPr>
              <w:spacing w:after="160" w:line="259" w:lineRule="auto"/>
              <w:rPr>
                <w:b/>
                <w:bCs/>
                <w:sz w:val="20"/>
                <w:szCs w:val="20"/>
              </w:rPr>
            </w:pPr>
            <w:r w:rsidRPr="00AD29FC">
              <w:rPr>
                <w:b/>
                <w:bCs/>
                <w:sz w:val="20"/>
                <w:szCs w:val="20"/>
              </w:rPr>
              <w:t>XIII</w:t>
            </w:r>
            <w:r w:rsidR="006375B7" w:rsidRPr="00BF3F76">
              <w:rPr>
                <w:b/>
                <w:bCs/>
                <w:sz w:val="20"/>
                <w:szCs w:val="20"/>
              </w:rPr>
              <w:t>.</w:t>
            </w:r>
          </w:p>
        </w:tc>
        <w:tc>
          <w:tcPr>
            <w:tcW w:w="5677" w:type="dxa"/>
            <w:shd w:val="clear" w:color="auto" w:fill="D9D9D9" w:themeFill="background1" w:themeFillShade="D9"/>
          </w:tcPr>
          <w:p w14:paraId="3FB3A9ED" w14:textId="7F0D64A2" w:rsidR="00AD29FC" w:rsidRPr="00BF3F76" w:rsidRDefault="00AD29FC">
            <w:pPr>
              <w:rPr>
                <w:b/>
                <w:bCs/>
                <w:sz w:val="20"/>
                <w:szCs w:val="20"/>
                <w:lang w:val="en-US"/>
              </w:rPr>
            </w:pPr>
            <w:proofErr w:type="spellStart"/>
            <w:r w:rsidRPr="00AD29FC">
              <w:rPr>
                <w:b/>
                <w:bCs/>
                <w:sz w:val="20"/>
                <w:szCs w:val="20"/>
              </w:rPr>
              <w:t>Capitalisation</w:t>
            </w:r>
            <w:proofErr w:type="spellEnd"/>
            <w:r w:rsidRPr="00AD29FC">
              <w:rPr>
                <w:b/>
                <w:bCs/>
                <w:sz w:val="20"/>
                <w:szCs w:val="20"/>
              </w:rPr>
              <w:t xml:space="preserve"> and </w:t>
            </w:r>
            <w:proofErr w:type="spellStart"/>
            <w:r w:rsidRPr="00AD29FC">
              <w:rPr>
                <w:b/>
                <w:bCs/>
                <w:sz w:val="20"/>
                <w:szCs w:val="20"/>
              </w:rPr>
              <w:t>indebtedness</w:t>
            </w:r>
            <w:proofErr w:type="spellEnd"/>
          </w:p>
        </w:tc>
        <w:tc>
          <w:tcPr>
            <w:tcW w:w="1128" w:type="dxa"/>
            <w:shd w:val="clear" w:color="auto" w:fill="D9D9D9" w:themeFill="background1" w:themeFillShade="D9"/>
          </w:tcPr>
          <w:p w14:paraId="6A8AD272" w14:textId="77777777" w:rsidR="00AD29FC" w:rsidRPr="00BF3F76" w:rsidRDefault="00AD29FC">
            <w:pPr>
              <w:rPr>
                <w:sz w:val="20"/>
                <w:szCs w:val="20"/>
                <w:lang w:val="en-US"/>
              </w:rPr>
            </w:pPr>
          </w:p>
        </w:tc>
        <w:tc>
          <w:tcPr>
            <w:tcW w:w="3260" w:type="dxa"/>
            <w:shd w:val="clear" w:color="auto" w:fill="D9D9D9" w:themeFill="background1" w:themeFillShade="D9"/>
          </w:tcPr>
          <w:p w14:paraId="6AB85F17" w14:textId="77777777" w:rsidR="00AD29FC" w:rsidRPr="00BF3F76" w:rsidRDefault="00AD29FC">
            <w:pPr>
              <w:rPr>
                <w:sz w:val="20"/>
                <w:szCs w:val="20"/>
                <w:lang w:val="en-US"/>
              </w:rPr>
            </w:pPr>
          </w:p>
        </w:tc>
      </w:tr>
      <w:tr w:rsidR="00AD29FC" w:rsidRPr="00716E49" w14:paraId="0CA62F16" w14:textId="77777777" w:rsidTr="00BF3F76">
        <w:tc>
          <w:tcPr>
            <w:tcW w:w="709" w:type="dxa"/>
          </w:tcPr>
          <w:p w14:paraId="286ED69D" w14:textId="77777777" w:rsidR="00AD29FC" w:rsidRPr="00BF3F76" w:rsidRDefault="00AD29FC" w:rsidP="00AD29FC">
            <w:pPr>
              <w:rPr>
                <w:b/>
                <w:bCs/>
                <w:sz w:val="20"/>
                <w:szCs w:val="20"/>
                <w:lang w:val="en-US"/>
              </w:rPr>
            </w:pPr>
          </w:p>
        </w:tc>
        <w:tc>
          <w:tcPr>
            <w:tcW w:w="5677" w:type="dxa"/>
          </w:tcPr>
          <w:p w14:paraId="110BB228" w14:textId="77777777" w:rsidR="00AD29FC" w:rsidRPr="00AD29FC" w:rsidRDefault="00AD29FC" w:rsidP="00AD29FC">
            <w:pPr>
              <w:spacing w:after="160" w:line="259" w:lineRule="auto"/>
              <w:rPr>
                <w:sz w:val="20"/>
                <w:szCs w:val="20"/>
                <w:lang w:val="en-US"/>
              </w:rPr>
            </w:pPr>
            <w:r w:rsidRPr="00AD29FC">
              <w:rPr>
                <w:sz w:val="20"/>
                <w:szCs w:val="20"/>
                <w:lang w:val="en-US"/>
              </w:rPr>
              <w:t xml:space="preserve">A statement of </w:t>
            </w:r>
            <w:proofErr w:type="spellStart"/>
            <w:r w:rsidRPr="00AD29FC">
              <w:rPr>
                <w:sz w:val="20"/>
                <w:szCs w:val="20"/>
                <w:lang w:val="en-US"/>
              </w:rPr>
              <w:t>capitalisation</w:t>
            </w:r>
            <w:proofErr w:type="spellEnd"/>
            <w:r w:rsidRPr="00AD29FC">
              <w:rPr>
                <w:sz w:val="20"/>
                <w:szCs w:val="20"/>
                <w:lang w:val="en-US"/>
              </w:rPr>
              <w:t xml:space="preserve"> and indebtedness (distinguishing between guaranteed and unguaranteed, </w:t>
            </w:r>
            <w:proofErr w:type="gramStart"/>
            <w:r w:rsidRPr="00AD29FC">
              <w:rPr>
                <w:sz w:val="20"/>
                <w:szCs w:val="20"/>
                <w:lang w:val="en-US"/>
              </w:rPr>
              <w:t>secured</w:t>
            </w:r>
            <w:proofErr w:type="gramEnd"/>
            <w:r w:rsidRPr="00AD29FC">
              <w:rPr>
                <w:sz w:val="20"/>
                <w:szCs w:val="20"/>
                <w:lang w:val="en-US"/>
              </w:rPr>
              <w:t xml:space="preserve"> and unsecured indebtedness) as of a date no earlier than 90 days prior to the date </w:t>
            </w:r>
            <w:r w:rsidRPr="00AD29FC">
              <w:rPr>
                <w:sz w:val="20"/>
                <w:szCs w:val="20"/>
                <w:lang w:val="en-US"/>
              </w:rPr>
              <w:lastRenderedPageBreak/>
              <w:t>of the EU Recovery prospectus. The term “indebtedness” also includes indirect and contingent indebtedness.</w:t>
            </w:r>
          </w:p>
          <w:p w14:paraId="3F2C1C54" w14:textId="687A2913" w:rsidR="00AD29FC" w:rsidRPr="00BF3F76" w:rsidRDefault="00AD29FC" w:rsidP="006375B7">
            <w:pPr>
              <w:spacing w:after="160" w:line="259" w:lineRule="auto"/>
              <w:rPr>
                <w:sz w:val="20"/>
                <w:szCs w:val="20"/>
                <w:lang w:val="en-US"/>
              </w:rPr>
            </w:pPr>
            <w:r w:rsidRPr="00AD29FC">
              <w:rPr>
                <w:sz w:val="20"/>
                <w:szCs w:val="20"/>
                <w:lang w:val="en-US"/>
              </w:rPr>
              <w:t xml:space="preserve">In the case of material changes in the </w:t>
            </w:r>
            <w:proofErr w:type="spellStart"/>
            <w:r w:rsidRPr="00AD29FC">
              <w:rPr>
                <w:sz w:val="20"/>
                <w:szCs w:val="20"/>
                <w:lang w:val="en-US"/>
              </w:rPr>
              <w:t>capitalisation</w:t>
            </w:r>
            <w:proofErr w:type="spellEnd"/>
            <w:r w:rsidRPr="00AD29FC">
              <w:rPr>
                <w:sz w:val="20"/>
                <w:szCs w:val="20"/>
                <w:lang w:val="en-US"/>
              </w:rPr>
              <w:t xml:space="preserve"> and indebtedness position of the issuer within the </w:t>
            </w:r>
            <w:proofErr w:type="gramStart"/>
            <w:r w:rsidRPr="00AD29FC">
              <w:rPr>
                <w:sz w:val="20"/>
                <w:szCs w:val="20"/>
                <w:lang w:val="en-US"/>
              </w:rPr>
              <w:t>90 day</w:t>
            </w:r>
            <w:proofErr w:type="gramEnd"/>
            <w:r w:rsidRPr="00AD29FC">
              <w:rPr>
                <w:sz w:val="20"/>
                <w:szCs w:val="20"/>
                <w:lang w:val="en-US"/>
              </w:rPr>
              <w:t xml:space="preserve"> period, additional information must be given through the presentation of a narrative description of such changes or through the updating of those figures.</w:t>
            </w:r>
          </w:p>
        </w:tc>
        <w:tc>
          <w:tcPr>
            <w:tcW w:w="1128" w:type="dxa"/>
          </w:tcPr>
          <w:p w14:paraId="1A478D72" w14:textId="77777777" w:rsidR="00AD29FC" w:rsidRPr="00BF3F76" w:rsidRDefault="00AD29FC">
            <w:pPr>
              <w:rPr>
                <w:sz w:val="20"/>
                <w:szCs w:val="20"/>
                <w:lang w:val="en-US"/>
              </w:rPr>
            </w:pPr>
          </w:p>
        </w:tc>
        <w:tc>
          <w:tcPr>
            <w:tcW w:w="3260" w:type="dxa"/>
          </w:tcPr>
          <w:p w14:paraId="460A1A77" w14:textId="2ACDBB79" w:rsidR="00AD29FC" w:rsidRPr="00BF3F76" w:rsidRDefault="00AD29FC">
            <w:pPr>
              <w:rPr>
                <w:sz w:val="20"/>
                <w:szCs w:val="20"/>
                <w:lang w:val="en-US"/>
              </w:rPr>
            </w:pPr>
          </w:p>
        </w:tc>
      </w:tr>
      <w:tr w:rsidR="00AD29FC" w:rsidRPr="00BF3F76" w14:paraId="631065D2" w14:textId="77777777" w:rsidTr="00661BCE">
        <w:tc>
          <w:tcPr>
            <w:tcW w:w="709" w:type="dxa"/>
            <w:shd w:val="clear" w:color="auto" w:fill="D9D9D9" w:themeFill="background1" w:themeFillShade="D9"/>
          </w:tcPr>
          <w:p w14:paraId="15A33B11" w14:textId="35628B9F" w:rsidR="00AD29FC" w:rsidRPr="00BF3F76" w:rsidRDefault="00AD29FC" w:rsidP="00AD29FC">
            <w:pPr>
              <w:spacing w:after="160" w:line="259" w:lineRule="auto"/>
              <w:rPr>
                <w:b/>
                <w:bCs/>
                <w:sz w:val="20"/>
                <w:szCs w:val="20"/>
                <w:lang w:val="en-US"/>
              </w:rPr>
            </w:pPr>
            <w:r w:rsidRPr="00AD29FC">
              <w:rPr>
                <w:b/>
                <w:bCs/>
                <w:sz w:val="20"/>
                <w:szCs w:val="20"/>
                <w:lang w:val="en-US"/>
              </w:rPr>
              <w:t>XIV</w:t>
            </w:r>
            <w:r w:rsidR="006375B7" w:rsidRPr="00BF3F76">
              <w:rPr>
                <w:b/>
                <w:bCs/>
                <w:sz w:val="20"/>
                <w:szCs w:val="20"/>
                <w:lang w:val="en-US"/>
              </w:rPr>
              <w:t>.</w:t>
            </w:r>
          </w:p>
        </w:tc>
        <w:tc>
          <w:tcPr>
            <w:tcW w:w="5677" w:type="dxa"/>
            <w:shd w:val="clear" w:color="auto" w:fill="D9D9D9" w:themeFill="background1" w:themeFillShade="D9"/>
          </w:tcPr>
          <w:p w14:paraId="321DBDCA" w14:textId="1D097D99" w:rsidR="00AD29FC" w:rsidRPr="00BF3F76" w:rsidRDefault="00AD29FC">
            <w:pPr>
              <w:rPr>
                <w:b/>
                <w:bCs/>
                <w:sz w:val="20"/>
                <w:szCs w:val="20"/>
                <w:lang w:val="en-US"/>
              </w:rPr>
            </w:pPr>
            <w:r w:rsidRPr="00AD29FC">
              <w:rPr>
                <w:b/>
                <w:bCs/>
                <w:sz w:val="20"/>
                <w:szCs w:val="20"/>
                <w:lang w:val="en-US"/>
              </w:rPr>
              <w:t>Conflicts of interest</w:t>
            </w:r>
          </w:p>
        </w:tc>
        <w:tc>
          <w:tcPr>
            <w:tcW w:w="1128" w:type="dxa"/>
            <w:shd w:val="clear" w:color="auto" w:fill="D9D9D9" w:themeFill="background1" w:themeFillShade="D9"/>
          </w:tcPr>
          <w:p w14:paraId="3A06B437" w14:textId="77777777" w:rsidR="00AD29FC" w:rsidRPr="00BF3F76" w:rsidRDefault="00AD29FC">
            <w:pPr>
              <w:rPr>
                <w:sz w:val="20"/>
                <w:szCs w:val="20"/>
                <w:lang w:val="en-US"/>
              </w:rPr>
            </w:pPr>
          </w:p>
        </w:tc>
        <w:tc>
          <w:tcPr>
            <w:tcW w:w="3260" w:type="dxa"/>
            <w:shd w:val="clear" w:color="auto" w:fill="D9D9D9" w:themeFill="background1" w:themeFillShade="D9"/>
          </w:tcPr>
          <w:p w14:paraId="2E3C86E9" w14:textId="77777777" w:rsidR="00AD29FC" w:rsidRPr="00BF3F76" w:rsidRDefault="00AD29FC">
            <w:pPr>
              <w:rPr>
                <w:sz w:val="20"/>
                <w:szCs w:val="20"/>
                <w:lang w:val="en-US"/>
              </w:rPr>
            </w:pPr>
          </w:p>
        </w:tc>
      </w:tr>
      <w:tr w:rsidR="00AD29FC" w:rsidRPr="00716E49" w14:paraId="2106999C" w14:textId="77777777" w:rsidTr="00BF3F76">
        <w:tc>
          <w:tcPr>
            <w:tcW w:w="709" w:type="dxa"/>
          </w:tcPr>
          <w:p w14:paraId="12AF90DA" w14:textId="77777777" w:rsidR="00AD29FC" w:rsidRPr="00BF3F76" w:rsidRDefault="00AD29FC" w:rsidP="00AD29FC">
            <w:pPr>
              <w:rPr>
                <w:b/>
                <w:bCs/>
                <w:sz w:val="20"/>
                <w:szCs w:val="20"/>
                <w:lang w:val="en-US"/>
              </w:rPr>
            </w:pPr>
          </w:p>
        </w:tc>
        <w:tc>
          <w:tcPr>
            <w:tcW w:w="5677" w:type="dxa"/>
          </w:tcPr>
          <w:p w14:paraId="7454BC3B" w14:textId="3186AE72" w:rsidR="00AD29FC" w:rsidRPr="00BF3F76" w:rsidRDefault="00AD29FC" w:rsidP="006375B7">
            <w:pPr>
              <w:spacing w:after="160" w:line="259" w:lineRule="auto"/>
              <w:rPr>
                <w:sz w:val="20"/>
                <w:szCs w:val="20"/>
                <w:lang w:val="en-US"/>
              </w:rPr>
            </w:pPr>
            <w:r w:rsidRPr="00AD29FC">
              <w:rPr>
                <w:sz w:val="20"/>
                <w:szCs w:val="20"/>
                <w:lang w:val="en-US"/>
              </w:rPr>
              <w:t>Provide information about any interests related to the issuance, including conflicts of interest, and details of the persons involved and the nature of the interests.</w:t>
            </w:r>
          </w:p>
        </w:tc>
        <w:tc>
          <w:tcPr>
            <w:tcW w:w="1128" w:type="dxa"/>
          </w:tcPr>
          <w:p w14:paraId="71C616BF" w14:textId="77777777" w:rsidR="00AD29FC" w:rsidRPr="00BF3F76" w:rsidRDefault="00AD29FC">
            <w:pPr>
              <w:rPr>
                <w:sz w:val="20"/>
                <w:szCs w:val="20"/>
                <w:lang w:val="en-US"/>
              </w:rPr>
            </w:pPr>
          </w:p>
        </w:tc>
        <w:tc>
          <w:tcPr>
            <w:tcW w:w="3260" w:type="dxa"/>
          </w:tcPr>
          <w:p w14:paraId="57638C34" w14:textId="319DC8A1" w:rsidR="00AD29FC" w:rsidRPr="00BF3F76" w:rsidRDefault="00AD29FC">
            <w:pPr>
              <w:rPr>
                <w:sz w:val="20"/>
                <w:szCs w:val="20"/>
                <w:lang w:val="en-US"/>
              </w:rPr>
            </w:pPr>
          </w:p>
        </w:tc>
      </w:tr>
      <w:tr w:rsidR="00AD29FC" w:rsidRPr="00991899" w14:paraId="04F7FEC2" w14:textId="77777777" w:rsidTr="00661BCE">
        <w:tc>
          <w:tcPr>
            <w:tcW w:w="709" w:type="dxa"/>
            <w:shd w:val="clear" w:color="auto" w:fill="D9D9D9" w:themeFill="background1" w:themeFillShade="D9"/>
          </w:tcPr>
          <w:p w14:paraId="524969A8" w14:textId="2093288F" w:rsidR="00AD29FC" w:rsidRPr="00BF3F76" w:rsidRDefault="00AD29FC" w:rsidP="00AD29FC">
            <w:pPr>
              <w:spacing w:after="160" w:line="259" w:lineRule="auto"/>
              <w:rPr>
                <w:b/>
                <w:bCs/>
                <w:sz w:val="20"/>
                <w:szCs w:val="20"/>
                <w:lang w:val="en-US"/>
              </w:rPr>
            </w:pPr>
            <w:r w:rsidRPr="00AD29FC">
              <w:rPr>
                <w:b/>
                <w:bCs/>
                <w:sz w:val="20"/>
                <w:szCs w:val="20"/>
                <w:lang w:val="en-US"/>
              </w:rPr>
              <w:t>XV</w:t>
            </w:r>
            <w:r w:rsidR="006375B7" w:rsidRPr="00BF3F76">
              <w:rPr>
                <w:b/>
                <w:bCs/>
                <w:sz w:val="20"/>
                <w:szCs w:val="20"/>
                <w:lang w:val="en-US"/>
              </w:rPr>
              <w:t>.</w:t>
            </w:r>
          </w:p>
        </w:tc>
        <w:tc>
          <w:tcPr>
            <w:tcW w:w="5677" w:type="dxa"/>
            <w:shd w:val="clear" w:color="auto" w:fill="D9D9D9" w:themeFill="background1" w:themeFillShade="D9"/>
          </w:tcPr>
          <w:p w14:paraId="65672BCB" w14:textId="02C0AA44" w:rsidR="00AD29FC" w:rsidRPr="00BF3F76" w:rsidRDefault="00AD29FC">
            <w:pPr>
              <w:rPr>
                <w:sz w:val="20"/>
                <w:szCs w:val="20"/>
                <w:lang w:val="en-US"/>
              </w:rPr>
            </w:pPr>
            <w:r w:rsidRPr="00AD29FC">
              <w:rPr>
                <w:b/>
                <w:bCs/>
                <w:sz w:val="20"/>
                <w:szCs w:val="20"/>
                <w:lang w:val="en-US"/>
              </w:rPr>
              <w:t>Dilution and shareholding after the issuance</w:t>
            </w:r>
          </w:p>
        </w:tc>
        <w:tc>
          <w:tcPr>
            <w:tcW w:w="1128" w:type="dxa"/>
            <w:shd w:val="clear" w:color="auto" w:fill="D9D9D9" w:themeFill="background1" w:themeFillShade="D9"/>
          </w:tcPr>
          <w:p w14:paraId="4207FBD0" w14:textId="77777777" w:rsidR="00AD29FC" w:rsidRPr="00BF3F76" w:rsidRDefault="00AD29FC">
            <w:pPr>
              <w:rPr>
                <w:sz w:val="20"/>
                <w:szCs w:val="20"/>
                <w:lang w:val="en-US"/>
              </w:rPr>
            </w:pPr>
          </w:p>
        </w:tc>
        <w:tc>
          <w:tcPr>
            <w:tcW w:w="3260" w:type="dxa"/>
            <w:shd w:val="clear" w:color="auto" w:fill="D9D9D9" w:themeFill="background1" w:themeFillShade="D9"/>
          </w:tcPr>
          <w:p w14:paraId="47543813" w14:textId="77777777" w:rsidR="00AD29FC" w:rsidRPr="00BF3F76" w:rsidRDefault="00AD29FC">
            <w:pPr>
              <w:rPr>
                <w:sz w:val="20"/>
                <w:szCs w:val="20"/>
                <w:lang w:val="en-US"/>
              </w:rPr>
            </w:pPr>
          </w:p>
        </w:tc>
      </w:tr>
      <w:tr w:rsidR="00AD29FC" w:rsidRPr="00716E49" w14:paraId="1BB7446E" w14:textId="77777777" w:rsidTr="00BF3F76">
        <w:tc>
          <w:tcPr>
            <w:tcW w:w="709" w:type="dxa"/>
          </w:tcPr>
          <w:p w14:paraId="5D20DDD6" w14:textId="77777777" w:rsidR="00AD29FC" w:rsidRPr="00BF3F76" w:rsidRDefault="00AD29FC">
            <w:pPr>
              <w:rPr>
                <w:sz w:val="20"/>
                <w:szCs w:val="20"/>
                <w:lang w:val="en-US"/>
              </w:rPr>
            </w:pPr>
          </w:p>
        </w:tc>
        <w:tc>
          <w:tcPr>
            <w:tcW w:w="5677" w:type="dxa"/>
          </w:tcPr>
          <w:p w14:paraId="50EB3255" w14:textId="00DBCA24" w:rsidR="00AD29FC" w:rsidRPr="00BF3F76" w:rsidRDefault="00AD29FC">
            <w:pPr>
              <w:rPr>
                <w:sz w:val="20"/>
                <w:szCs w:val="20"/>
                <w:lang w:val="en-US"/>
              </w:rPr>
            </w:pPr>
            <w:r w:rsidRPr="00BF3F76">
              <w:rPr>
                <w:sz w:val="20"/>
                <w:szCs w:val="20"/>
                <w:lang w:val="en-US"/>
              </w:rPr>
              <w:t>Present a comparison of participation in share capital and voting rights for existing shareholders before and after the capital increase resulting from the public offer, with the assumption that existing shareholders do not subscribe for the new shares and, separately, with the assumption that existing shareholders do take up their entitlement.</w:t>
            </w:r>
          </w:p>
        </w:tc>
        <w:tc>
          <w:tcPr>
            <w:tcW w:w="1128" w:type="dxa"/>
          </w:tcPr>
          <w:p w14:paraId="69F6CDAE" w14:textId="77777777" w:rsidR="00AD29FC" w:rsidRPr="00BF3F76" w:rsidRDefault="00AD29FC">
            <w:pPr>
              <w:rPr>
                <w:sz w:val="20"/>
                <w:szCs w:val="20"/>
                <w:lang w:val="en-US"/>
              </w:rPr>
            </w:pPr>
          </w:p>
        </w:tc>
        <w:tc>
          <w:tcPr>
            <w:tcW w:w="3260" w:type="dxa"/>
          </w:tcPr>
          <w:p w14:paraId="3C3D6E25" w14:textId="0D26A0C2" w:rsidR="00AD29FC" w:rsidRPr="00BF3F76" w:rsidRDefault="00AD29FC">
            <w:pPr>
              <w:rPr>
                <w:sz w:val="20"/>
                <w:szCs w:val="20"/>
                <w:lang w:val="en-US"/>
              </w:rPr>
            </w:pPr>
          </w:p>
        </w:tc>
      </w:tr>
      <w:tr w:rsidR="00AD29FC" w:rsidRPr="00BF3F76" w14:paraId="495E5A1C" w14:textId="77777777" w:rsidTr="00661BCE">
        <w:tc>
          <w:tcPr>
            <w:tcW w:w="709" w:type="dxa"/>
            <w:shd w:val="clear" w:color="auto" w:fill="D9D9D9" w:themeFill="background1" w:themeFillShade="D9"/>
          </w:tcPr>
          <w:p w14:paraId="3E3EA032" w14:textId="4887A89A" w:rsidR="00AD29FC" w:rsidRPr="00BF3F76" w:rsidRDefault="00AD29FC" w:rsidP="00AD29FC">
            <w:pPr>
              <w:spacing w:after="160" w:line="259" w:lineRule="auto"/>
              <w:rPr>
                <w:b/>
                <w:bCs/>
                <w:sz w:val="20"/>
                <w:szCs w:val="20"/>
                <w:lang w:val="en-US"/>
              </w:rPr>
            </w:pPr>
            <w:r w:rsidRPr="00AD29FC">
              <w:rPr>
                <w:b/>
                <w:bCs/>
                <w:sz w:val="20"/>
                <w:szCs w:val="20"/>
                <w:lang w:val="en-US"/>
              </w:rPr>
              <w:t>XVI</w:t>
            </w:r>
            <w:r w:rsidR="006375B7" w:rsidRPr="00BF3F76">
              <w:rPr>
                <w:b/>
                <w:bCs/>
                <w:sz w:val="20"/>
                <w:szCs w:val="20"/>
                <w:lang w:val="en-US"/>
              </w:rPr>
              <w:t>.</w:t>
            </w:r>
          </w:p>
        </w:tc>
        <w:tc>
          <w:tcPr>
            <w:tcW w:w="5677" w:type="dxa"/>
            <w:shd w:val="clear" w:color="auto" w:fill="D9D9D9" w:themeFill="background1" w:themeFillShade="D9"/>
          </w:tcPr>
          <w:p w14:paraId="0394833F" w14:textId="4019D2A6" w:rsidR="00AD29FC" w:rsidRPr="00BF3F76" w:rsidRDefault="00AD29FC">
            <w:pPr>
              <w:rPr>
                <w:sz w:val="20"/>
                <w:szCs w:val="20"/>
                <w:lang w:val="en-US"/>
              </w:rPr>
            </w:pPr>
            <w:r w:rsidRPr="00AD29FC">
              <w:rPr>
                <w:b/>
                <w:bCs/>
                <w:sz w:val="20"/>
                <w:szCs w:val="20"/>
                <w:lang w:val="en-US"/>
              </w:rPr>
              <w:t>Documents available</w:t>
            </w:r>
          </w:p>
        </w:tc>
        <w:tc>
          <w:tcPr>
            <w:tcW w:w="1128" w:type="dxa"/>
            <w:shd w:val="clear" w:color="auto" w:fill="D9D9D9" w:themeFill="background1" w:themeFillShade="D9"/>
          </w:tcPr>
          <w:p w14:paraId="737BBCA2" w14:textId="77777777" w:rsidR="00AD29FC" w:rsidRPr="00BF3F76" w:rsidRDefault="00AD29FC">
            <w:pPr>
              <w:rPr>
                <w:sz w:val="20"/>
                <w:szCs w:val="20"/>
                <w:lang w:val="en-US"/>
              </w:rPr>
            </w:pPr>
          </w:p>
        </w:tc>
        <w:tc>
          <w:tcPr>
            <w:tcW w:w="3260" w:type="dxa"/>
            <w:shd w:val="clear" w:color="auto" w:fill="D9D9D9" w:themeFill="background1" w:themeFillShade="D9"/>
          </w:tcPr>
          <w:p w14:paraId="6D008E42" w14:textId="77777777" w:rsidR="00AD29FC" w:rsidRPr="00BF3F76" w:rsidRDefault="00AD29FC">
            <w:pPr>
              <w:rPr>
                <w:sz w:val="20"/>
                <w:szCs w:val="20"/>
                <w:lang w:val="en-US"/>
              </w:rPr>
            </w:pPr>
          </w:p>
        </w:tc>
      </w:tr>
      <w:tr w:rsidR="00AD29FC" w:rsidRPr="00716E49" w14:paraId="5F285775" w14:textId="77777777" w:rsidTr="00BF3F76">
        <w:tc>
          <w:tcPr>
            <w:tcW w:w="709" w:type="dxa"/>
          </w:tcPr>
          <w:p w14:paraId="6079D500" w14:textId="77777777" w:rsidR="00AD29FC" w:rsidRPr="00BF3F76" w:rsidRDefault="00AD29FC">
            <w:pPr>
              <w:rPr>
                <w:sz w:val="20"/>
                <w:szCs w:val="20"/>
                <w:lang w:val="en-US"/>
              </w:rPr>
            </w:pPr>
          </w:p>
        </w:tc>
        <w:tc>
          <w:tcPr>
            <w:tcW w:w="5677" w:type="dxa"/>
          </w:tcPr>
          <w:p w14:paraId="4332D390" w14:textId="77777777" w:rsidR="00AD29FC" w:rsidRPr="00AD29FC" w:rsidRDefault="00AD29FC" w:rsidP="00AD29FC">
            <w:pPr>
              <w:spacing w:after="160" w:line="259" w:lineRule="auto"/>
              <w:rPr>
                <w:sz w:val="20"/>
                <w:szCs w:val="20"/>
                <w:lang w:val="en-US"/>
              </w:rPr>
            </w:pPr>
            <w:r w:rsidRPr="00AD29FC">
              <w:rPr>
                <w:sz w:val="20"/>
                <w:szCs w:val="20"/>
                <w:lang w:val="en-US"/>
              </w:rPr>
              <w:t>A statement that for the term of the EU Recovery prospectus the following documents, where applicable, can be inspected:</w:t>
            </w:r>
          </w:p>
          <w:tbl>
            <w:tblPr>
              <w:tblW w:w="5000" w:type="pct"/>
              <w:tblCellMar>
                <w:left w:w="0" w:type="dxa"/>
                <w:right w:w="0" w:type="dxa"/>
              </w:tblCellMar>
              <w:tblLook w:val="04A0" w:firstRow="1" w:lastRow="0" w:firstColumn="1" w:lastColumn="0" w:noHBand="0" w:noVBand="1"/>
            </w:tblPr>
            <w:tblGrid>
              <w:gridCol w:w="218"/>
              <w:gridCol w:w="5240"/>
            </w:tblGrid>
            <w:tr w:rsidR="00AD29FC" w:rsidRPr="00991899" w14:paraId="4FF603D5" w14:textId="77777777" w:rsidTr="008931FD">
              <w:tc>
                <w:tcPr>
                  <w:tcW w:w="0" w:type="auto"/>
                  <w:shd w:val="clear" w:color="auto" w:fill="auto"/>
                  <w:hideMark/>
                </w:tcPr>
                <w:p w14:paraId="0FEB0738" w14:textId="77777777" w:rsidR="00AD29FC" w:rsidRPr="00AD29FC" w:rsidRDefault="00AD29FC" w:rsidP="00AD29FC">
                  <w:pPr>
                    <w:rPr>
                      <w:sz w:val="20"/>
                      <w:szCs w:val="20"/>
                    </w:rPr>
                  </w:pPr>
                  <w:r w:rsidRPr="00AD29FC">
                    <w:rPr>
                      <w:sz w:val="20"/>
                      <w:szCs w:val="20"/>
                    </w:rPr>
                    <w:t>(a)</w:t>
                  </w:r>
                </w:p>
              </w:tc>
              <w:tc>
                <w:tcPr>
                  <w:tcW w:w="0" w:type="auto"/>
                  <w:shd w:val="clear" w:color="auto" w:fill="auto"/>
                  <w:hideMark/>
                </w:tcPr>
                <w:p w14:paraId="4680A2E5" w14:textId="609F6EA5" w:rsidR="00AD29FC" w:rsidRPr="00AD29FC" w:rsidRDefault="00AD29FC" w:rsidP="00AD29FC">
                  <w:pPr>
                    <w:rPr>
                      <w:sz w:val="20"/>
                      <w:szCs w:val="20"/>
                      <w:lang w:val="en-US"/>
                    </w:rPr>
                  </w:pPr>
                  <w:r w:rsidRPr="00BF3F76">
                    <w:rPr>
                      <w:sz w:val="20"/>
                      <w:szCs w:val="20"/>
                      <w:lang w:val="en-US"/>
                    </w:rPr>
                    <w:t xml:space="preserve"> </w:t>
                  </w:r>
                  <w:r w:rsidRPr="00AD29FC">
                    <w:rPr>
                      <w:sz w:val="20"/>
                      <w:szCs w:val="20"/>
                      <w:lang w:val="en-US"/>
                    </w:rPr>
                    <w:t xml:space="preserve">the </w:t>
                  </w:r>
                  <w:proofErr w:type="gramStart"/>
                  <w:r w:rsidRPr="00AD29FC">
                    <w:rPr>
                      <w:sz w:val="20"/>
                      <w:szCs w:val="20"/>
                      <w:lang w:val="en-US"/>
                    </w:rPr>
                    <w:t>up to date</w:t>
                  </w:r>
                  <w:proofErr w:type="gramEnd"/>
                  <w:r w:rsidRPr="00AD29FC">
                    <w:rPr>
                      <w:sz w:val="20"/>
                      <w:szCs w:val="20"/>
                      <w:lang w:val="en-US"/>
                    </w:rPr>
                    <w:t xml:space="preserve"> memorandum and articles of association of the issuer;</w:t>
                  </w:r>
                </w:p>
              </w:tc>
            </w:tr>
          </w:tbl>
          <w:p w14:paraId="2BFDD7A6" w14:textId="77777777" w:rsidR="00AD29FC" w:rsidRPr="00AD29FC" w:rsidRDefault="00AD29FC" w:rsidP="00AD29FC">
            <w:pPr>
              <w:spacing w:after="160" w:line="259" w:lineRule="auto"/>
              <w:rPr>
                <w:vanish/>
                <w:sz w:val="20"/>
                <w:szCs w:val="20"/>
              </w:rPr>
            </w:pPr>
          </w:p>
          <w:tbl>
            <w:tblPr>
              <w:tblW w:w="5000" w:type="pct"/>
              <w:tblCellMar>
                <w:left w:w="0" w:type="dxa"/>
                <w:right w:w="0" w:type="dxa"/>
              </w:tblCellMar>
              <w:tblLook w:val="04A0" w:firstRow="1" w:lastRow="0" w:firstColumn="1" w:lastColumn="0" w:noHBand="0" w:noVBand="1"/>
            </w:tblPr>
            <w:tblGrid>
              <w:gridCol w:w="227"/>
              <w:gridCol w:w="5231"/>
            </w:tblGrid>
            <w:tr w:rsidR="00AD29FC" w:rsidRPr="00991899" w14:paraId="5F272C53" w14:textId="77777777" w:rsidTr="008931FD">
              <w:tc>
                <w:tcPr>
                  <w:tcW w:w="0" w:type="auto"/>
                  <w:shd w:val="clear" w:color="auto" w:fill="auto"/>
                  <w:hideMark/>
                </w:tcPr>
                <w:p w14:paraId="4446C9E8" w14:textId="77777777" w:rsidR="00AD29FC" w:rsidRPr="00AD29FC" w:rsidRDefault="00AD29FC" w:rsidP="00AD29FC">
                  <w:pPr>
                    <w:rPr>
                      <w:sz w:val="20"/>
                      <w:szCs w:val="20"/>
                    </w:rPr>
                  </w:pPr>
                  <w:r w:rsidRPr="00AD29FC">
                    <w:rPr>
                      <w:sz w:val="20"/>
                      <w:szCs w:val="20"/>
                    </w:rPr>
                    <w:t>(b)</w:t>
                  </w:r>
                </w:p>
              </w:tc>
              <w:tc>
                <w:tcPr>
                  <w:tcW w:w="0" w:type="auto"/>
                  <w:shd w:val="clear" w:color="auto" w:fill="auto"/>
                  <w:hideMark/>
                </w:tcPr>
                <w:p w14:paraId="6ABC9183" w14:textId="2B9079DA" w:rsidR="00AD29FC" w:rsidRPr="00AD29FC" w:rsidRDefault="00AD29FC" w:rsidP="00AD29FC">
                  <w:pPr>
                    <w:rPr>
                      <w:sz w:val="20"/>
                      <w:szCs w:val="20"/>
                      <w:lang w:val="en-US"/>
                    </w:rPr>
                  </w:pPr>
                  <w:r w:rsidRPr="00BF3F76">
                    <w:rPr>
                      <w:sz w:val="20"/>
                      <w:szCs w:val="20"/>
                      <w:lang w:val="en-US"/>
                    </w:rPr>
                    <w:t xml:space="preserve"> </w:t>
                  </w:r>
                  <w:r w:rsidRPr="00AD29FC">
                    <w:rPr>
                      <w:sz w:val="20"/>
                      <w:szCs w:val="20"/>
                      <w:lang w:val="en-US"/>
                    </w:rPr>
                    <w:t>all reports, letters, and other documents, valuations and statements prepared by an expert at the issuer’s request any part of which is included or referred to in the EU Recovery prospectus.</w:t>
                  </w:r>
                </w:p>
              </w:tc>
            </w:tr>
          </w:tbl>
          <w:p w14:paraId="3CED5789" w14:textId="7CDC4EE8" w:rsidR="00AD29FC" w:rsidRPr="00BF3F76" w:rsidRDefault="00AD29FC">
            <w:pPr>
              <w:rPr>
                <w:sz w:val="20"/>
                <w:szCs w:val="20"/>
                <w:lang w:val="en-US"/>
              </w:rPr>
            </w:pPr>
            <w:r w:rsidRPr="00AD29FC">
              <w:rPr>
                <w:sz w:val="20"/>
                <w:szCs w:val="20"/>
                <w:lang w:val="en-US"/>
              </w:rPr>
              <w:t>An indication of the website on which the documents may be inspected.</w:t>
            </w:r>
          </w:p>
        </w:tc>
        <w:tc>
          <w:tcPr>
            <w:tcW w:w="1128" w:type="dxa"/>
          </w:tcPr>
          <w:p w14:paraId="78440A3E" w14:textId="77777777" w:rsidR="00AD29FC" w:rsidRPr="00BF3F76" w:rsidRDefault="00AD29FC">
            <w:pPr>
              <w:rPr>
                <w:sz w:val="20"/>
                <w:szCs w:val="20"/>
                <w:lang w:val="en-US"/>
              </w:rPr>
            </w:pPr>
          </w:p>
        </w:tc>
        <w:tc>
          <w:tcPr>
            <w:tcW w:w="3260" w:type="dxa"/>
          </w:tcPr>
          <w:p w14:paraId="6549E6CE" w14:textId="1DF1E4E8" w:rsidR="00AD29FC" w:rsidRPr="00BF3F76" w:rsidRDefault="00AD29FC">
            <w:pPr>
              <w:rPr>
                <w:sz w:val="20"/>
                <w:szCs w:val="20"/>
                <w:lang w:val="en-US"/>
              </w:rPr>
            </w:pPr>
          </w:p>
        </w:tc>
      </w:tr>
    </w:tbl>
    <w:p w14:paraId="0D11FAC1" w14:textId="77777777" w:rsidR="00725C43" w:rsidRPr="00AD29FC" w:rsidRDefault="00725C43">
      <w:pPr>
        <w:rPr>
          <w:lang w:val="en-US"/>
        </w:rPr>
      </w:pPr>
    </w:p>
    <w:sectPr w:rsidR="00725C43" w:rsidRPr="00AD29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FC"/>
    <w:rsid w:val="0009618F"/>
    <w:rsid w:val="002D240E"/>
    <w:rsid w:val="005354F3"/>
    <w:rsid w:val="006375B7"/>
    <w:rsid w:val="00661BCE"/>
    <w:rsid w:val="00716E49"/>
    <w:rsid w:val="00725C43"/>
    <w:rsid w:val="008F3C5F"/>
    <w:rsid w:val="00991899"/>
    <w:rsid w:val="009D3351"/>
    <w:rsid w:val="00A6740E"/>
    <w:rsid w:val="00AD29FC"/>
    <w:rsid w:val="00BF3F76"/>
    <w:rsid w:val="00F304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1D12"/>
  <w15:chartTrackingRefBased/>
  <w15:docId w15:val="{F7F97146-EC80-499E-A276-23257F61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375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AD29FC"/>
    <w:rPr>
      <w:color w:val="0563C1" w:themeColor="hyperlink"/>
      <w:u w:val="single"/>
    </w:rPr>
  </w:style>
  <w:style w:type="character" w:styleId="Ulstomtale">
    <w:name w:val="Unresolved Mention"/>
    <w:basedOn w:val="Standardskriftforavsnitt"/>
    <w:uiPriority w:val="99"/>
    <w:semiHidden/>
    <w:unhideWhenUsed/>
    <w:rsid w:val="00AD29FC"/>
    <w:rPr>
      <w:color w:val="605E5C"/>
      <w:shd w:val="clear" w:color="auto" w:fill="E1DFDD"/>
    </w:rPr>
  </w:style>
  <w:style w:type="table" w:styleId="Tabellrutenett">
    <w:name w:val="Table Grid"/>
    <w:basedOn w:val="Vanligtabell"/>
    <w:uiPriority w:val="39"/>
    <w:rsid w:val="00AD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6375B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564720">
      <w:bodyDiv w:val="1"/>
      <w:marLeft w:val="0"/>
      <w:marRight w:val="0"/>
      <w:marTop w:val="0"/>
      <w:marBottom w:val="0"/>
      <w:divBdr>
        <w:top w:val="none" w:sz="0" w:space="0" w:color="auto"/>
        <w:left w:val="none" w:sz="0" w:space="0" w:color="auto"/>
        <w:bottom w:val="none" w:sz="0" w:space="0" w:color="auto"/>
        <w:right w:val="none" w:sz="0" w:space="0" w:color="auto"/>
      </w:divBdr>
      <w:divsChild>
        <w:div w:id="876817567">
          <w:marLeft w:val="0"/>
          <w:marRight w:val="0"/>
          <w:marTop w:val="0"/>
          <w:marBottom w:val="0"/>
          <w:divBdr>
            <w:top w:val="none" w:sz="0" w:space="0" w:color="auto"/>
            <w:left w:val="none" w:sz="0" w:space="0" w:color="auto"/>
            <w:bottom w:val="none" w:sz="0" w:space="0" w:color="auto"/>
            <w:right w:val="none" w:sz="0" w:space="0" w:color="auto"/>
          </w:divBdr>
          <w:divsChild>
            <w:div w:id="240648644">
              <w:marLeft w:val="0"/>
              <w:marRight w:val="0"/>
              <w:marTop w:val="0"/>
              <w:marBottom w:val="0"/>
              <w:divBdr>
                <w:top w:val="none" w:sz="0" w:space="0" w:color="auto"/>
                <w:left w:val="none" w:sz="0" w:space="0" w:color="auto"/>
                <w:bottom w:val="none" w:sz="0" w:space="0" w:color="auto"/>
                <w:right w:val="none" w:sz="0" w:space="0" w:color="auto"/>
              </w:divBdr>
              <w:divsChild>
                <w:div w:id="7169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ur-lex.europa.eu/legal-content/EN/TXT/?uri=celex%3A32021R0337" TargetMode="External"/><Relationship Id="rId4" Type="http://schemas.openxmlformats.org/officeDocument/2006/relationships/hyperlink" Target="https://eur-lex.europa.eu/legal-content/EN/TXT/?uri=celex%3A32021R033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1817</Words>
  <Characters>9635</Characters>
  <Application>Microsoft Office Word</Application>
  <DocSecurity>0</DocSecurity>
  <Lines>80</Lines>
  <Paragraphs>22</Paragraphs>
  <ScaleCrop>false</ScaleCrop>
  <HeadingPairs>
    <vt:vector size="2" baseType="variant">
      <vt:variant>
        <vt:lpstr>Tittel</vt:lpstr>
      </vt:variant>
      <vt:variant>
        <vt:i4>1</vt:i4>
      </vt:variant>
    </vt:vector>
  </HeadingPairs>
  <TitlesOfParts>
    <vt:vector size="1" baseType="lpstr">
      <vt:lpstr/>
    </vt:vector>
  </TitlesOfParts>
  <Company>Finanstilsynet</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Anders Nicolaissen</dc:creator>
  <cp:keywords/>
  <dc:description/>
  <cp:lastModifiedBy>Børge Ulekleiv</cp:lastModifiedBy>
  <cp:revision>2</cp:revision>
  <cp:lastPrinted>2022-04-20T14:00:00Z</cp:lastPrinted>
  <dcterms:created xsi:type="dcterms:W3CDTF">2022-04-28T15:53:00Z</dcterms:created>
  <dcterms:modified xsi:type="dcterms:W3CDTF">2022-04-28T15:53:00Z</dcterms:modified>
</cp:coreProperties>
</file>